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7903" w14:textId="77777777" w:rsidR="008C46D5" w:rsidRPr="008C46D5" w:rsidRDefault="008C46D5" w:rsidP="008C46D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14:paraId="21DD43F4" w14:textId="77777777" w:rsidR="008C46D5" w:rsidRPr="008C46D5" w:rsidRDefault="008C46D5" w:rsidP="008C46D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Preparatu nie można stosować:</w:t>
      </w:r>
    </w:p>
    <w:p w14:paraId="4084B5A4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wstrzyknięć wykonywanych w najpłytszą warstwę skóry (naskórek);</w:t>
      </w:r>
    </w:p>
    <w:p w14:paraId="3E3931CA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 przypadku pacjentów z chorobami skóry, stanami zapalnymi lub zakażeniami w miejscu zabiegu lub w jego okolicy. Procedury wstrzyknięcia mogą prowadzić do nawrotu utajonych lub </w:t>
      </w:r>
      <w:proofErr w:type="spellStart"/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subklinicznych</w:t>
      </w:r>
      <w:proofErr w:type="spellEnd"/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zakażeń wirusem opryszczki;</w:t>
      </w:r>
    </w:p>
    <w:p w14:paraId="3337EAB9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pacjentów z rozpoznaną nadwrażliwością na kwas hialuronowy, z ciężką alergią lub wstrząsem anafilaktycznym w wywiadzie;</w:t>
      </w:r>
    </w:p>
    <w:p w14:paraId="03349AF8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stwierdzonej nadwrażliwości na lidokainę i/lub środki miejscowo znieczulające typu amidowego,</w:t>
      </w:r>
    </w:p>
    <w:p w14:paraId="1429D4D1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Łącznie z peelingami, laseroterapią lub terapią oparta na</w:t>
      </w: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ultradźwiękach;</w:t>
      </w:r>
    </w:p>
    <w:p w14:paraId="23D61CAA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przypadku, gdy pacjent cierpi na choroby autoimmunologiczne,</w:t>
      </w:r>
    </w:p>
    <w:p w14:paraId="68165BDB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przypadku, gdy pacjent cierpi na choroby kardiologiczne i/lub jest w trakcie leczenia chorób serca (beta-</w:t>
      </w:r>
      <w:proofErr w:type="spellStart"/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blokery</w:t>
      </w:r>
      <w:proofErr w:type="spellEnd"/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),</w:t>
      </w:r>
    </w:p>
    <w:p w14:paraId="3CCEBFF1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osób cierpiących na niewydolność wątroby i/ lub przyjmujących leki na schorzenia wątroby,</w:t>
      </w:r>
    </w:p>
    <w:p w14:paraId="62A66328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przypadku osób cierpiących na padaczkę lub porfirie,</w:t>
      </w:r>
    </w:p>
    <w:p w14:paraId="2436D0DF" w14:textId="77777777" w:rsidR="008C46D5" w:rsidRPr="008C46D5" w:rsidRDefault="008C46D5" w:rsidP="008C4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w ciąży, karmiących piersią lub dzieci.</w:t>
      </w:r>
    </w:p>
    <w:p w14:paraId="65F7BE98" w14:textId="77777777" w:rsidR="008C46D5" w:rsidRPr="008C46D5" w:rsidRDefault="008C46D5" w:rsidP="008C46D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 uwagi na możliwe interakcje z innymi implantami do wypełnień, które nie zostały zbadane, nie zaleca się wstrzykiwania w miejsca, gdzie mogą znajdować się inne implanty do wypełnień lub w okolice takich miejsc. Nie wstrzykiwać tego preparatu w miejsca, gdzie wstrzyknięto implant inny niż kwas hialuronowy (prawdopodobnie stały implant)</w:t>
      </w: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Nie wstrzykiwać do naczyń krwionośnych.</w:t>
      </w: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Nie wstrzykiwać w powieki.</w:t>
      </w:r>
    </w:p>
    <w:p w14:paraId="6C57C746" w14:textId="77777777" w:rsidR="008C46D5" w:rsidRPr="008C46D5" w:rsidRDefault="008C46D5" w:rsidP="008C46D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Skutki uboczne </w:t>
      </w:r>
    </w:p>
    <w:p w14:paraId="7E84C482" w14:textId="77777777" w:rsidR="008C46D5" w:rsidRPr="008C46D5" w:rsidRDefault="008C46D5" w:rsidP="008C46D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Lekarz musi poinformować pacjenta o potencjalnych działaniach niepożądanych związanych z leczeniem, które mogą wystąpić zaraz po wstrzyknięciu lub z opóźnieniem.</w:t>
      </w: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br/>
        <w:t>Należą do nich między innymi (lista niepełna):</w:t>
      </w:r>
    </w:p>
    <w:p w14:paraId="4673A7A3" w14:textId="77777777" w:rsidR="008C46D5" w:rsidRPr="008C46D5" w:rsidRDefault="008C46D5" w:rsidP="008C46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Częste: ból w miejscu wstrzyknięcia, tkliwość, zaczerwienienie/rumień, zasinienia/krwiaki, opuchlizna, sztywność/twardość, guzki/grudki, świąd, zaburzenie pigmentacji skóry (w tym efekt </w:t>
      </w:r>
      <w:proofErr w:type="spellStart"/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Tyndalla</w:t>
      </w:r>
      <w:proofErr w:type="spellEnd"/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i odbarwienie)</w:t>
      </w:r>
    </w:p>
    <w:p w14:paraId="5DF2EE28" w14:textId="77777777" w:rsidR="008C46D5" w:rsidRPr="008C46D5" w:rsidRDefault="008C46D5" w:rsidP="008C46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46D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Mniej częste: reakcje zapalne, zakażenia (w tym miejscowe wstrzyknięcia lub tymczasowa parestezja.</w:t>
      </w:r>
    </w:p>
    <w:p w14:paraId="275D8D86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6137"/>
    <w:multiLevelType w:val="multilevel"/>
    <w:tmpl w:val="6B1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839E6"/>
    <w:multiLevelType w:val="multilevel"/>
    <w:tmpl w:val="C88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98444">
    <w:abstractNumId w:val="0"/>
  </w:num>
  <w:num w:numId="2" w16cid:durableId="199749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D5"/>
    <w:rsid w:val="00413B3C"/>
    <w:rsid w:val="00453B28"/>
    <w:rsid w:val="008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0F34"/>
  <w15:chartTrackingRefBased/>
  <w15:docId w15:val="{F2B26D22-843E-4F3A-BF70-F6B889C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2023-07-12T11:34:00Z</dcterms:created>
  <dcterms:modified xsi:type="dcterms:W3CDTF">2023-07-12T11:35:00Z</dcterms:modified>
</cp:coreProperties>
</file>