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color w:val="222222"/>
          <w:sz w:val="36"/>
          <w:szCs w:val="36"/>
          <w:highlight w:val="white"/>
        </w:rPr>
      </w:pPr>
      <w:r w:rsidDel="00000000" w:rsidR="00000000" w:rsidRPr="00000000">
        <w:rPr>
          <w:color w:val="222222"/>
          <w:sz w:val="36"/>
          <w:szCs w:val="36"/>
          <w:highlight w:val="white"/>
          <w:rtl w:val="0"/>
        </w:rPr>
        <w:t xml:space="preserve">BioRePeelCl3</w:t>
      </w:r>
    </w:p>
    <w:p w:rsidR="00000000" w:rsidDel="00000000" w:rsidP="00000000" w:rsidRDefault="00000000" w:rsidRPr="00000000" w14:paraId="00000002">
      <w:pPr>
        <w:jc w:val="center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BIPHASIC TECHNOLOGY</w:t>
      </w:r>
    </w:p>
    <w:p w:rsidR="00000000" w:rsidDel="00000000" w:rsidP="00000000" w:rsidRDefault="00000000" w:rsidRPr="00000000" w14:paraId="00000003">
      <w:pPr>
        <w:jc w:val="center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Instrukcja użycia:</w:t>
      </w:r>
    </w:p>
    <w:p w:rsidR="00000000" w:rsidDel="00000000" w:rsidP="00000000" w:rsidRDefault="00000000" w:rsidRPr="00000000" w14:paraId="00000005">
      <w:pPr>
        <w:spacing w:after="0" w:before="0" w:line="308.5714285714286" w:lineRule="auto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BioRePeelCl3 to wyrób medyczny z kwasem dwufazowym zawierający kwas trichlorooctowy</w:t>
      </w:r>
      <w:r w:rsidDel="00000000" w:rsidR="00000000" w:rsidRPr="00000000">
        <w:rPr>
          <w:color w:val="202124"/>
          <w:highlight w:val="white"/>
          <w:rtl w:val="0"/>
        </w:rPr>
        <w:t xml:space="preserve">, kwas winowy, kwas cytrynowy, kwas salicylowy, kwas laktobionowy, kwas gamma-aminomasłowy, arginina, prolina, hydroksyprolina, glukozyd askorbylu, ryboflawina, </w:t>
      </w:r>
      <w:r w:rsidDel="00000000" w:rsidR="00000000" w:rsidRPr="00000000">
        <w:rPr>
          <w:color w:val="202124"/>
          <w:highlight w:val="white"/>
          <w:rtl w:val="0"/>
        </w:rPr>
        <w:t xml:space="preserve">mirystynian izopropylu i skwalan.</w:t>
      </w:r>
    </w:p>
    <w:p w:rsidR="00000000" w:rsidDel="00000000" w:rsidP="00000000" w:rsidRDefault="00000000" w:rsidRPr="00000000" w14:paraId="00000006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308.5714285714286" w:lineRule="auto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BioRePeelCl3 to wyrób medyczny o działaniu złuszczającym i wspomagającym w leczeniu trądziku oraz w zapobieganiu nawrotom. Stwarza dogodne warunki do odbudowy fizjologicznej warstwy skóry w przypadku zmian trądzikowych, zapobiega powstawaniu blizn potrądzikowych oraz neutralizuje niedawno powstałe.</w:t>
      </w:r>
    </w:p>
    <w:p w:rsidR="00000000" w:rsidDel="00000000" w:rsidP="00000000" w:rsidRDefault="00000000" w:rsidRPr="00000000" w14:paraId="00000009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308.5714285714286" w:lineRule="auto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Urządzenie działa złuszczająco na skórę, dzięki kwaśnemu pH i właściwościom chemicznym jego składników, wspierając mechaniczną eliminację uszkodzonych i zdegenerowanych komórek naskórka, które zostaną zastąpione odnowionymi, pomagając przywrócić skórze fizjologiczne warunki.</w:t>
      </w:r>
    </w:p>
    <w:p w:rsidR="00000000" w:rsidDel="00000000" w:rsidP="00000000" w:rsidRDefault="00000000" w:rsidRPr="00000000" w14:paraId="0000000C">
      <w:pPr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308.5714285714286" w:lineRule="auto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02124"/>
          <w:sz w:val="24"/>
          <w:szCs w:val="24"/>
          <w:highlight w:val="white"/>
          <w:rtl w:val="0"/>
        </w:rPr>
        <w:t xml:space="preserve">Wskazania: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both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Trądzik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both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 Redukcja powierzchownych blizn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 Zapobieganie tworzeniu się blizn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both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Redukcja nawrotów trądziku</w:t>
      </w:r>
    </w:p>
    <w:p w:rsidR="00000000" w:rsidDel="00000000" w:rsidP="00000000" w:rsidRDefault="00000000" w:rsidRPr="00000000" w14:paraId="00000013">
      <w:pPr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Efekty uboczne: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Nie stosować w przypadku stwierdzonej wrażliwości na</w:t>
      </w:r>
    </w:p>
    <w:p w:rsidR="00000000" w:rsidDel="00000000" w:rsidP="00000000" w:rsidRDefault="00000000" w:rsidRPr="00000000" w14:paraId="00000017">
      <w:pPr>
        <w:spacing w:after="0" w:before="0" w:line="308.5714285714286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składniki.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308.5714285714286" w:lineRule="auto"/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Nie stosować u osób uczulonych na salicylany.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</w:t>
      </w:r>
      <w:r w:rsidDel="00000000" w:rsidR="00000000" w:rsidRPr="00000000">
        <w:rPr>
          <w:color w:val="202124"/>
          <w:highlight w:val="white"/>
          <w:rtl w:val="0"/>
        </w:rPr>
        <w:t xml:space="preserve">Może wystąpić lekkie zaczerwienienie skóry, które powinno ustąpić 24-48 godzin po zabiegu.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Nie używaj produktu, jeśli występują dysfunkcje  i/</w:t>
      </w:r>
    </w:p>
    <w:p w:rsidR="00000000" w:rsidDel="00000000" w:rsidP="00000000" w:rsidRDefault="00000000" w:rsidRPr="00000000" w14:paraId="0000001B">
      <w:pPr>
        <w:ind w:left="720" w:firstLine="0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lub infekcje wpływające na skórę, takie jak zapalenie skóry</w:t>
      </w:r>
    </w:p>
    <w:p w:rsidR="00000000" w:rsidDel="00000000" w:rsidP="00000000" w:rsidRDefault="00000000" w:rsidRPr="00000000" w14:paraId="0000001C">
      <w:pPr>
        <w:spacing w:after="0" w:before="0" w:line="308.5714285714286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lub opryszczka.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U</w:t>
      </w:r>
      <w:r w:rsidDel="00000000" w:rsidR="00000000" w:rsidRPr="00000000">
        <w:rPr>
          <w:color w:val="202124"/>
          <w:highlight w:val="white"/>
          <w:rtl w:val="0"/>
        </w:rPr>
        <w:t xml:space="preserve">Stosować ostrożnie u pacjentów z bliznowcami.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Nie używać w trakcie ciąży oraz karmienia piersią.</w:t>
      </w:r>
    </w:p>
    <w:p w:rsidR="00000000" w:rsidDel="00000000" w:rsidP="00000000" w:rsidRDefault="00000000" w:rsidRPr="00000000" w14:paraId="0000001F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72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308.5714285714286" w:lineRule="auto"/>
        <w:ind w:left="720" w:firstLine="0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02124"/>
          <w:highlight w:val="white"/>
          <w:rtl w:val="0"/>
        </w:rPr>
        <w:t xml:space="preserve">Protokół użytkowania i przeznaczenie</w:t>
      </w:r>
      <w:r w:rsidDel="00000000" w:rsidR="00000000" w:rsidRPr="00000000">
        <w:rPr>
          <w:b w:val="1"/>
          <w:color w:val="222222"/>
          <w:highlight w:val="white"/>
          <w:rtl w:val="0"/>
        </w:rPr>
        <w:t xml:space="preserve">:</w:t>
      </w:r>
    </w:p>
    <w:p w:rsidR="00000000" w:rsidDel="00000000" w:rsidP="00000000" w:rsidRDefault="00000000" w:rsidRPr="00000000" w14:paraId="00000022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TSD</w:t>
      </w:r>
      <w:r w:rsidDel="00000000" w:rsidR="00000000" w:rsidRPr="00000000">
        <w:rPr>
          <w:color w:val="222222"/>
          <w:highlight w:val="white"/>
          <w:rtl w:val="0"/>
        </w:rPr>
        <w:t xml:space="preserve"> - Obszar: Twarz, szyja, dekolt.</w:t>
      </w:r>
    </w:p>
    <w:p w:rsidR="00000000" w:rsidDel="00000000" w:rsidP="00000000" w:rsidRDefault="00000000" w:rsidRPr="00000000" w14:paraId="00000023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Zabieg wykonuj co 7-10 dni przez co najmniej 4-6 sesji, w zależności od opinii lekarza i celów leczenia. Nałożyć na 3-5 minut, w zależności od odczuć pacjenta.</w:t>
      </w:r>
    </w:p>
    <w:p w:rsidR="00000000" w:rsidDel="00000000" w:rsidP="00000000" w:rsidRDefault="00000000" w:rsidRPr="00000000" w14:paraId="00000025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TSD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Dawkowanie (ml)</w:t>
            </w:r>
          </w:p>
        </w:tc>
      </w:tr>
      <w:tr>
        <w:trPr>
          <w:cantSplit w:val="0"/>
          <w:trHeight w:val="44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Twarz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1,5-2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Szyja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1-1,5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Dekolt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2-2,5 ml</w:t>
            </w:r>
          </w:p>
        </w:tc>
      </w:tr>
    </w:tbl>
    <w:p w:rsidR="00000000" w:rsidDel="00000000" w:rsidP="00000000" w:rsidRDefault="00000000" w:rsidRPr="00000000" w14:paraId="0000002F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Cialo</w:t>
      </w:r>
      <w:r w:rsidDel="00000000" w:rsidR="00000000" w:rsidRPr="00000000">
        <w:rPr>
          <w:color w:val="222222"/>
          <w:highlight w:val="white"/>
          <w:rtl w:val="0"/>
        </w:rPr>
        <w:t xml:space="preserve"> - obszar: ciało</w:t>
      </w:r>
    </w:p>
    <w:p w:rsidR="00000000" w:rsidDel="00000000" w:rsidP="00000000" w:rsidRDefault="00000000" w:rsidRPr="00000000" w14:paraId="00000031">
      <w:pPr>
        <w:spacing w:after="0" w:before="0" w:line="308.5714285714286" w:lineRule="auto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Zabieg wykonuj co 10-12 dni przez co najmniej 4-6 sesji, w zależności od opinii lekarza i celów leczenia. Nałóż na 3-10 minut, w zależności od odczuć pacjenta.</w:t>
      </w:r>
    </w:p>
    <w:p w:rsidR="00000000" w:rsidDel="00000000" w:rsidP="00000000" w:rsidRDefault="00000000" w:rsidRPr="00000000" w14:paraId="00000032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Ciało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Dawkowanie(ml)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Plecy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6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Ramiona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3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Pośladki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4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Nogi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5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Kolana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2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Łokcie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1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Dłonie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2 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Stopy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222222"/>
                <w:highlight w:val="white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3 ml</w:t>
            </w:r>
          </w:p>
        </w:tc>
      </w:tr>
    </w:tbl>
    <w:p w:rsidR="00000000" w:rsidDel="00000000" w:rsidP="00000000" w:rsidRDefault="00000000" w:rsidRPr="00000000" w14:paraId="00000046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Metoda aplikacji:</w:t>
      </w:r>
    </w:p>
    <w:p w:rsidR="00000000" w:rsidDel="00000000" w:rsidP="00000000" w:rsidRDefault="00000000" w:rsidRPr="00000000" w14:paraId="00000048">
      <w:pPr>
        <w:ind w:left="0" w:firstLine="0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720" w:hanging="360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Wstrząsaj butelką przez kilka sekund, aż preparat</w:t>
      </w:r>
    </w:p>
    <w:p w:rsidR="00000000" w:rsidDel="00000000" w:rsidP="00000000" w:rsidRDefault="00000000" w:rsidRPr="00000000" w14:paraId="0000004A">
      <w:pPr>
        <w:spacing w:after="0" w:before="0" w:line="308.5714285714286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zmieni kolor na zieloną emulsje przed każdym użyciem.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Za</w:t>
      </w:r>
      <w:r w:rsidDel="00000000" w:rsidR="00000000" w:rsidRPr="00000000">
        <w:rPr>
          <w:color w:val="202124"/>
          <w:highlight w:val="white"/>
          <w:rtl w:val="0"/>
        </w:rPr>
        <w:t xml:space="preserve"> pomocą strzykawki pobrać ilość potrzebną do zabiegu, pobierając ze środka mieszanki, aby produkt był jednolity, i natychmiast przystąpić do aplikacji.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Nałóż</w:t>
      </w:r>
      <w:r w:rsidDel="00000000" w:rsidR="00000000" w:rsidRPr="00000000">
        <w:rPr>
          <w:color w:val="202124"/>
          <w:highlight w:val="white"/>
          <w:rtl w:val="0"/>
        </w:rPr>
        <w:t xml:space="preserve"> produkt na poddawane zabiegowi miejsce i wcieraj rękawiczką nitrylową, aż do całkowitego wchłonięcia.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Po</w:t>
      </w:r>
      <w:r w:rsidDel="00000000" w:rsidR="00000000" w:rsidRPr="00000000">
        <w:rPr>
          <w:color w:val="202124"/>
          <w:highlight w:val="white"/>
          <w:rtl w:val="0"/>
        </w:rPr>
        <w:t xml:space="preserve"> upływie czasu ekspozycji dokładnie przetrzyj obszar sterylną gazą i wodą oraz wyczyść wszelkie pozostałości.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Produkt przeznaczony dla jednego pacjenta.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0" w:firstLine="0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Ostrzeżenia:</w:t>
      </w:r>
    </w:p>
    <w:p w:rsidR="00000000" w:rsidDel="00000000" w:rsidP="00000000" w:rsidRDefault="00000000" w:rsidRPr="00000000" w14:paraId="00000051">
      <w:pPr>
        <w:ind w:left="0" w:firstLine="0"/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6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Profesjonalny</w:t>
      </w:r>
      <w:r w:rsidDel="00000000" w:rsidR="00000000" w:rsidRPr="00000000">
        <w:rPr>
          <w:color w:val="202124"/>
          <w:highlight w:val="white"/>
          <w:rtl w:val="0"/>
        </w:rPr>
        <w:t xml:space="preserve"> wyrób medyczny do użytku zewnętrznego.</w:t>
      </w:r>
      <w:r w:rsidDel="00000000" w:rsidR="00000000" w:rsidRPr="00000000">
        <w:rPr>
          <w:color w:val="222222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53">
      <w:pPr>
        <w:numPr>
          <w:ilvl w:val="0"/>
          <w:numId w:val="6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Unikaj</w:t>
      </w:r>
      <w:r w:rsidDel="00000000" w:rsidR="00000000" w:rsidRPr="00000000">
        <w:rPr>
          <w:color w:val="202124"/>
          <w:highlight w:val="white"/>
          <w:rtl w:val="0"/>
        </w:rPr>
        <w:t xml:space="preserve"> kontaktu z oczami, błonami śluzowymi i paznokciami.</w:t>
      </w:r>
      <w:r w:rsidDel="00000000" w:rsidR="00000000" w:rsidRPr="00000000">
        <w:rPr>
          <w:color w:val="222222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54">
      <w:pPr>
        <w:numPr>
          <w:ilvl w:val="0"/>
          <w:numId w:val="6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W razie przypadkowego kontaktu przemyć dużą ilością wody lub płynu do przemywania oczu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Usuwać</w:t>
      </w:r>
      <w:r w:rsidDel="00000000" w:rsidR="00000000" w:rsidRPr="00000000">
        <w:rPr>
          <w:color w:val="202124"/>
          <w:highlight w:val="white"/>
          <w:rtl w:val="0"/>
        </w:rPr>
        <w:t xml:space="preserve"> jako odpady niebezpieczne zgodnie z obowiązującymi wymogami, klasa zagrożenia</w:t>
      </w:r>
      <w:r w:rsidDel="00000000" w:rsidR="00000000" w:rsidRPr="00000000">
        <w:rPr>
          <w:color w:val="222222"/>
          <w:highlight w:val="white"/>
          <w:rtl w:val="0"/>
        </w:rPr>
        <w:t xml:space="preserve">: HP4, HP5, HP6, HP14.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before="0" w:line="308.5714285714286" w:lineRule="auto"/>
        <w:ind w:left="720" w:hanging="360"/>
        <w:rPr>
          <w:color w:val="222222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W przypadku zastosowania niezgodnego z protokołem produktu i jego przeznaczeniem, profesjonalny użytkownik medyczny przyjmuje odpowiedzialność za nieprawidłowe użycie, znając ryzyko i korzyści związane z użytkowaniem i niewskazanym użyciem</w:t>
      </w:r>
      <w:r w:rsidDel="00000000" w:rsidR="00000000" w:rsidRPr="00000000">
        <w:rPr>
          <w:color w:val="222222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57">
      <w:pPr>
        <w:ind w:left="72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Przechowywanie:</w:t>
      </w:r>
    </w:p>
    <w:p w:rsidR="00000000" w:rsidDel="00000000" w:rsidP="00000000" w:rsidRDefault="00000000" w:rsidRPr="00000000" w14:paraId="00000059">
      <w:pPr>
        <w:jc w:val="center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308.5714285714286" w:lineRule="auto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Przechowywać w chłodnym, suchym miejscu w temperaturze od 5°C do 25°C, z dala od źródeł światła i ciepła.</w:t>
      </w:r>
    </w:p>
    <w:p w:rsidR="00000000" w:rsidDel="00000000" w:rsidP="00000000" w:rsidRDefault="00000000" w:rsidRPr="00000000" w14:paraId="0000005B">
      <w:pPr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