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D8007" w14:textId="77777777" w:rsidR="00423089" w:rsidRDefault="00423089" w:rsidP="0042308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Środki ostrożności</w:t>
      </w:r>
    </w:p>
    <w:p w14:paraId="78258865" w14:textId="77777777" w:rsidR="00423089" w:rsidRDefault="00423089" w:rsidP="0042308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Unikaj kontaktu z oczami. W przypadku dostania się produktu do oczu, natychmiast przepłucz je wodą. Przechowywać w temperaturze pokojowej i z dala od dzieci. Wyłącznie do użytku zewnętrznego.</w:t>
      </w:r>
    </w:p>
    <w:p w14:paraId="52EE948F" w14:textId="77777777" w:rsidR="00423089" w:rsidRDefault="00423089" w:rsidP="0042308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5C6142F" w14:textId="40667C9C" w:rsidR="00423089" w:rsidRDefault="00423089" w:rsidP="0042308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Dipropylene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Niacinamide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  Glycereth-26, </w:t>
      </w:r>
      <w:proofErr w:type="spellStart"/>
      <w:r>
        <w:rPr>
          <w:rFonts w:ascii="Verdana" w:hAnsi="Verdana"/>
          <w:color w:val="000000"/>
          <w:sz w:val="21"/>
          <w:szCs w:val="21"/>
        </w:rPr>
        <w:t>Trehalose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Butylene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>, 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>, 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Collagen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Salix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Alba (</w:t>
      </w:r>
      <w:proofErr w:type="spellStart"/>
      <w:r>
        <w:rPr>
          <w:rFonts w:ascii="Verdana" w:hAnsi="Verdana"/>
          <w:color w:val="000000"/>
          <w:sz w:val="21"/>
          <w:szCs w:val="21"/>
        </w:rPr>
        <w:t>Willow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Bark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Chamaecyparis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Obtusa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Salix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Alba (</w:t>
      </w:r>
      <w:proofErr w:type="spellStart"/>
      <w:r>
        <w:rPr>
          <w:rFonts w:ascii="Verdana" w:hAnsi="Verdana"/>
          <w:color w:val="000000"/>
          <w:sz w:val="21"/>
          <w:szCs w:val="21"/>
        </w:rPr>
        <w:t>Willow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Bark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Scutellaria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Baicalensis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Root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Cinnamomum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Cassia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Bark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Ethylhexylglycerin</w:t>
      </w:r>
      <w:proofErr w:type="spellEnd"/>
      <w:r>
        <w:rPr>
          <w:rFonts w:ascii="Verdana" w:hAnsi="Verdana"/>
          <w:color w:val="000000"/>
          <w:sz w:val="21"/>
          <w:szCs w:val="21"/>
        </w:rPr>
        <w:t> </w:t>
      </w:r>
      <w:proofErr w:type="spellStart"/>
      <w:r>
        <w:rPr>
          <w:rFonts w:ascii="Verdana" w:hAnsi="Verdana"/>
          <w:color w:val="000000"/>
          <w:sz w:val="21"/>
          <w:szCs w:val="21"/>
        </w:rPr>
        <w:t>Portulaca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Oleracea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Lactobacillus</w:t>
      </w:r>
      <w:proofErr w:type="spellEnd"/>
      <w:r>
        <w:rPr>
          <w:rFonts w:ascii="Verdana" w:hAnsi="Verdana"/>
          <w:color w:val="000000"/>
          <w:sz w:val="21"/>
          <w:szCs w:val="21"/>
        </w:rPr>
        <w:t>/</w:t>
      </w:r>
      <w:proofErr w:type="spellStart"/>
      <w:r>
        <w:rPr>
          <w:rFonts w:ascii="Verdana" w:hAnsi="Verdana"/>
          <w:color w:val="000000"/>
          <w:sz w:val="21"/>
          <w:szCs w:val="21"/>
        </w:rPr>
        <w:t>Soybean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Ferment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Vegetable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Amino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Oat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Amino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1,2-Hexanediol,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Hydroxyacetophenone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  PEG-60 </w:t>
      </w:r>
      <w:proofErr w:type="spellStart"/>
      <w:r>
        <w:rPr>
          <w:rFonts w:ascii="Verdana" w:hAnsi="Verdana"/>
          <w:color w:val="000000"/>
          <w:sz w:val="21"/>
          <w:szCs w:val="21"/>
        </w:rPr>
        <w:t>Hydrogenated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Castor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Adenosine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. </w:t>
      </w:r>
    </w:p>
    <w:p w14:paraId="4BAD4468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089"/>
    <w:rsid w:val="00413B3C"/>
    <w:rsid w:val="00423089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31809"/>
  <w15:chartTrackingRefBased/>
  <w15:docId w15:val="{D4E29F06-6FD0-48AB-8947-B4E5E6E55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230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4230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6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659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2023-07-11T13:29:00Z</dcterms:created>
  <dcterms:modified xsi:type="dcterms:W3CDTF">2023-07-11T13:30:00Z</dcterms:modified>
</cp:coreProperties>
</file>