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E69125" w14:textId="77777777" w:rsidR="00BA79F9" w:rsidRDefault="00BA79F9" w:rsidP="00BA79F9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Kryteria wykluczenia:</w:t>
      </w:r>
    </w:p>
    <w:p w14:paraId="565AE3AD" w14:textId="77777777" w:rsidR="00BA79F9" w:rsidRDefault="00BA79F9" w:rsidP="00BA79F9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Wyrobu nie wolno stosować u:</w:t>
      </w:r>
      <w:r>
        <w:rPr>
          <w:rFonts w:ascii="Verdana" w:hAnsi="Verdana"/>
          <w:color w:val="000000"/>
          <w:sz w:val="21"/>
          <w:szCs w:val="21"/>
        </w:rPr>
        <w:br/>
        <w:t>- pacjentów, u których stwierdza się tendencję do występowania blizn przerostowych, zaburzenia pigmentacji lub skłonność do powstawania bliznowców; </w:t>
      </w:r>
    </w:p>
    <w:p w14:paraId="77DD3644" w14:textId="77777777" w:rsidR="00BA79F9" w:rsidRDefault="00BA79F9" w:rsidP="00BA79F9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- pacjentów z chorobą autoimmunologiczną w wywiadzie lub stosujących immunoterapię;</w:t>
      </w:r>
    </w:p>
    <w:p w14:paraId="7C77C769" w14:textId="77777777" w:rsidR="00BA79F9" w:rsidRDefault="00BA79F9" w:rsidP="00BA79F9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- pacjentów ze stwierdzoną nadwrażliwością na kwas hialuronowy;</w:t>
      </w:r>
    </w:p>
    <w:p w14:paraId="1A29F8F7" w14:textId="77777777" w:rsidR="00BA79F9" w:rsidRDefault="00BA79F9" w:rsidP="00BA79F9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-pacjentów, u których wcześniej zastosowano trwałe wypełniacze w obszarze, w którym ma być wykonany zabieg:</w:t>
      </w:r>
    </w:p>
    <w:p w14:paraId="5740CBE9" w14:textId="77777777" w:rsidR="00BA79F9" w:rsidRDefault="00BA79F9" w:rsidP="00BA79F9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- kobiet w ciąży lub karmiących piersią;</w:t>
      </w:r>
      <w:r>
        <w:rPr>
          <w:rFonts w:ascii="Verdana" w:hAnsi="Verdana"/>
          <w:color w:val="000000"/>
          <w:sz w:val="21"/>
          <w:szCs w:val="21"/>
        </w:rPr>
        <w:br/>
        <w:t>- pacjentów w wieku poniżej 18 lat.</w:t>
      </w:r>
      <w:r>
        <w:rPr>
          <w:rFonts w:ascii="Verdana" w:hAnsi="Verdana"/>
          <w:color w:val="000000"/>
          <w:sz w:val="21"/>
          <w:szCs w:val="21"/>
        </w:rPr>
        <w:br/>
        <w:t xml:space="preserve">Wyrobu nie należy stosować u osób przyjmujących leki przeciwkrzepliwe lub inhibitory agregacji płytek krwi (np. kwas acetylosalicylowy) bez uprzedniej konsultacji z ich lekarzem prowadzącym. Wyrobu nie wolno stosować w miejscach, w których występują zmiany skórne, odczyn zapalny i/lub proces zakaźny (np. trądzik, opryszczka). Wyrób nie może być stosowany w skojarzeniu z laseroterapią, peelingiem chemicznym ani </w:t>
      </w:r>
      <w:proofErr w:type="spellStart"/>
      <w:r>
        <w:rPr>
          <w:rFonts w:ascii="Verdana" w:hAnsi="Verdana"/>
          <w:color w:val="000000"/>
          <w:sz w:val="21"/>
          <w:szCs w:val="21"/>
        </w:rPr>
        <w:t>mezoterapią</w:t>
      </w:r>
      <w:proofErr w:type="spellEnd"/>
      <w:r>
        <w:rPr>
          <w:rFonts w:ascii="Verdana" w:hAnsi="Verdana"/>
          <w:color w:val="000000"/>
          <w:sz w:val="21"/>
          <w:szCs w:val="21"/>
        </w:rPr>
        <w:t>.</w:t>
      </w:r>
    </w:p>
    <w:p w14:paraId="6BDB7B9D" w14:textId="77777777" w:rsidR="00BA79F9" w:rsidRDefault="00BA79F9" w:rsidP="00BA79F9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Środki ostrożności dotyczące stosowania:</w:t>
      </w:r>
    </w:p>
    <w:p w14:paraId="5E222B4C" w14:textId="77777777" w:rsidR="00BA79F9" w:rsidRDefault="00BA79F9" w:rsidP="00BA79F9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Wyrób może być używany wyłącznie przez lekarzy, którzy ukończyli specjalne szkolenie w zakresie techniki wstrzykiwania w celu przywracania objętości tkanek twarzy. U osób z wrażliwą skórą można zastosować premedykację z użyciem środka miejscowo znieczulającego w postaci plastra lub kremu. Zużytą strzykawkę, igłę i pozostałości produktu należy wyrzucić do specjalnego pojemnika. </w:t>
      </w:r>
    </w:p>
    <w:p w14:paraId="5FE3E6C9" w14:textId="77777777" w:rsidR="00BA79F9" w:rsidRDefault="00BA79F9" w:rsidP="00BA79F9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Niepożądane działania uboczne: </w:t>
      </w:r>
    </w:p>
    <w:p w14:paraId="4519A79A" w14:textId="77777777" w:rsidR="00BA79F9" w:rsidRDefault="00BA79F9" w:rsidP="00BA79F9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Lekarz musi poinformować pacjenta o potencjalnych działaniach niepożądanych i/lub niezgodnościach związanych z implantacja wyrobu, które mogą wystąpić natychmiast lub z opóźnieniem. Po zastosowaniu wyrobu lub podobnych produktów obserwowano następujące zdarzenia i reakcje: Obrzęk naczynioruchowy, zakażenia bakteryjne, powstanie zgrubień/grudek, krwawienie, wylewy podskórne, pieczenie, zmiana zabarwienia (zaburzenia pigmentacji skóry), uczucie 10 dyskomfortu, obrzęk, rumień, stwardnienie, ziarniniaki, krwiak, reaktywacja wirusa opryszczki, nadwrażliwość nagromadzenie materiału w miejscu implantacji, widoczność implantu, zgrubienie, odczyn zapalny, podrażnienie, świąd, zasinienie po przypadkowym spowodowaniu zatoru tętniczego, obrzęk</w:t>
      </w:r>
      <w:r>
        <w:rPr>
          <w:rFonts w:ascii="Verdana" w:hAnsi="Verdana"/>
          <w:color w:val="000000"/>
          <w:sz w:val="21"/>
          <w:szCs w:val="21"/>
        </w:rPr>
        <w:br/>
        <w:t xml:space="preserve">okolicy podoczodołowej (jarzmowej), migracja/przemieszczenie, martwica w wyniku uszkodzenia naczyń, guzki (zapalne i niezapalne), zdrętwienie, ból, parestezje, widoczne ślady nakłucia. Zaczerwienienie, zator tętnicy siatkówkowej, </w:t>
      </w:r>
      <w:proofErr w:type="spellStart"/>
      <w:r>
        <w:rPr>
          <w:rFonts w:ascii="Verdana" w:hAnsi="Verdana"/>
          <w:color w:val="000000"/>
          <w:sz w:val="21"/>
          <w:szCs w:val="21"/>
        </w:rPr>
        <w:t>sarkoidoza</w:t>
      </w:r>
      <w:proofErr w:type="spellEnd"/>
      <w:r>
        <w:rPr>
          <w:rFonts w:ascii="Verdana" w:hAnsi="Verdana"/>
          <w:color w:val="000000"/>
          <w:sz w:val="21"/>
          <w:szCs w:val="21"/>
        </w:rPr>
        <w:t>. </w:t>
      </w:r>
      <w:r>
        <w:rPr>
          <w:rFonts w:ascii="Verdana" w:hAnsi="Verdana"/>
          <w:color w:val="000000"/>
          <w:sz w:val="21"/>
          <w:szCs w:val="21"/>
        </w:rPr>
        <w:br/>
        <w:t xml:space="preserve">Blizny, liszaj śluzowaty </w:t>
      </w:r>
      <w:proofErr w:type="spellStart"/>
      <w:r>
        <w:rPr>
          <w:rFonts w:ascii="Verdana" w:hAnsi="Verdana"/>
          <w:color w:val="000000"/>
          <w:sz w:val="21"/>
          <w:szCs w:val="21"/>
        </w:rPr>
        <w:t>twardzinowy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uogólniony, opuchlizna, teleangiektazje, tkliwość, zapalenie naczyń, skurcz naczyń, reakcja w czasie wykonywania </w:t>
      </w:r>
      <w:r>
        <w:rPr>
          <w:rFonts w:ascii="Verdana" w:hAnsi="Verdana"/>
          <w:color w:val="000000"/>
          <w:sz w:val="21"/>
          <w:szCs w:val="21"/>
        </w:rPr>
        <w:lastRenderedPageBreak/>
        <w:t>wstrzyknięcia, utrata widzenia w wyniku niedrożności tętnicy siatkówki. W bardzo rzadkich przypadkach wstrzyknięcie innych wypełniaczy tkanek miękkich w okolicy gładzizny i skrzydełek nosa powodowało niedrożność tętnicy siatkówki. W rzadkich przypadkach możliwe jest wywołanie reaktywacji wirusa opryszczki na skutek bezpośredniego uszkodzenia aksonów nerwów spowodowanego przez manipulacje igłą lub ingerencję w tkanki i rozwój odczynu zapalnego po wstrzyknięciu wypełniacza. Rozwarstwienie</w:t>
      </w:r>
      <w:r>
        <w:rPr>
          <w:rFonts w:ascii="Verdana" w:hAnsi="Verdana"/>
          <w:color w:val="000000"/>
          <w:sz w:val="21"/>
          <w:szCs w:val="21"/>
        </w:rPr>
        <w:br/>
        <w:t xml:space="preserve">płaszczyzny </w:t>
      </w:r>
      <w:proofErr w:type="spellStart"/>
      <w:r>
        <w:rPr>
          <w:rFonts w:ascii="Verdana" w:hAnsi="Verdana"/>
          <w:color w:val="000000"/>
          <w:sz w:val="21"/>
          <w:szCs w:val="21"/>
        </w:rPr>
        <w:t>podnaskórkowej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w wyniku użycia wachlarzowatej igły może zwiększyć częstość występowania miejscowych działań niepożądanych. Wstrzyknięcie wypełniacza zbyt płytko lub</w:t>
      </w:r>
      <w:r>
        <w:rPr>
          <w:rFonts w:ascii="Verdana" w:hAnsi="Verdana"/>
          <w:color w:val="000000"/>
          <w:sz w:val="21"/>
          <w:szCs w:val="21"/>
        </w:rPr>
        <w:br/>
        <w:t>nierównomierne rozprowadzenie wstrzykniętego produktu może prowadzić do powstania widocznych, bladych guzków w skórze. Dlatego istotne znaczenie ma uwzględnienie tych potencjalnych powikłań. Pacjenci muszą jak najszybciej powiadomić lekarza o wszelkich odczynach zapalnych utrzymujących się dłużej niż przez tydzień lub wszelkich innych skutkach ubocznych.</w:t>
      </w:r>
    </w:p>
    <w:p w14:paraId="043F9F15" w14:textId="77777777" w:rsidR="00BA79F9" w:rsidRDefault="00BA79F9" w:rsidP="00BA79F9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Lekarz powinien zająć się leczeniem tych działań niepożądanych w odpowiedni sposób. Wszelkie niepożądane działania uboczne związane z wstrzyknięciami wyrobu należy zgłaszać dystrybutorowi i/lub producentowi produktu.</w:t>
      </w:r>
    </w:p>
    <w:p w14:paraId="72E2B4C1" w14:textId="77777777" w:rsidR="00453B28" w:rsidRDefault="00453B28"/>
    <w:sectPr w:rsidR="00453B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79F9"/>
    <w:rsid w:val="00413B3C"/>
    <w:rsid w:val="00453B28"/>
    <w:rsid w:val="00BA7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9BAF14"/>
  <w15:chartTrackingRefBased/>
  <w15:docId w15:val="{4FEBE7E5-ABB9-4714-8C63-B8146D2204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BA79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565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541</Words>
  <Characters>3252</Characters>
  <Application>Microsoft Office Word</Application>
  <DocSecurity>0</DocSecurity>
  <Lines>27</Lines>
  <Paragraphs>7</Paragraphs>
  <ScaleCrop>false</ScaleCrop>
  <Company/>
  <LinksUpToDate>false</LinksUpToDate>
  <CharactersWithSpaces>3786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Jaworska</dc:creator>
  <cp:keywords/>
  <dc:description/>
  <cp:lastModifiedBy>Olga Jaworska</cp:lastModifiedBy>
  <cp:revision>1</cp:revision>
  <dcterms:created xsi:type="dcterms:W3CDTF">2023-07-31T06:12:00Z</dcterms:created>
  <dcterms:modified xsi:type="dcterms:W3CDTF">2023-07-31T06:12:00Z</dcterms:modified>
</cp:coreProperties>
</file>