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color w:val="222222"/>
          <w:sz w:val="36"/>
          <w:szCs w:val="36"/>
          <w:highlight w:val="white"/>
        </w:rPr>
      </w:pPr>
      <w:r w:rsidDel="00000000" w:rsidR="00000000" w:rsidRPr="00000000">
        <w:rPr>
          <w:color w:val="222222"/>
          <w:sz w:val="36"/>
          <w:szCs w:val="36"/>
          <w:highlight w:val="white"/>
          <w:rtl w:val="0"/>
        </w:rPr>
        <w:t xml:space="preserve">BioRePeelCl3</w:t>
      </w:r>
    </w:p>
    <w:p w:rsidR="00000000" w:rsidDel="00000000" w:rsidP="00000000" w:rsidRDefault="00000000" w:rsidRPr="00000000" w14:paraId="00000002">
      <w:pPr>
        <w:jc w:val="center"/>
        <w:rPr>
          <w:color w:val="222222"/>
          <w:highlight w:val="white"/>
        </w:rPr>
      </w:pPr>
      <w:r w:rsidDel="00000000" w:rsidR="00000000" w:rsidRPr="00000000">
        <w:rPr>
          <w:color w:val="222222"/>
          <w:highlight w:val="white"/>
          <w:rtl w:val="0"/>
        </w:rPr>
        <w:t xml:space="preserve">BIPHASIC TECHNOLOGY</w:t>
      </w:r>
    </w:p>
    <w:p w:rsidR="00000000" w:rsidDel="00000000" w:rsidP="00000000" w:rsidRDefault="00000000" w:rsidRPr="00000000" w14:paraId="00000003">
      <w:pPr>
        <w:jc w:val="center"/>
        <w:rPr>
          <w:color w:val="222222"/>
          <w:highlight w:val="white"/>
        </w:rPr>
      </w:pPr>
      <w:r w:rsidDel="00000000" w:rsidR="00000000" w:rsidRPr="00000000">
        <w:rPr>
          <w:rtl w:val="0"/>
        </w:rPr>
      </w:r>
    </w:p>
    <w:p w:rsidR="00000000" w:rsidDel="00000000" w:rsidP="00000000" w:rsidRDefault="00000000" w:rsidRPr="00000000" w14:paraId="00000004">
      <w:pPr>
        <w:jc w:val="center"/>
        <w:rPr>
          <w:b w:val="1"/>
          <w:color w:val="222222"/>
          <w:highlight w:val="white"/>
        </w:rPr>
      </w:pPr>
      <w:r w:rsidDel="00000000" w:rsidR="00000000" w:rsidRPr="00000000">
        <w:rPr>
          <w:b w:val="1"/>
          <w:color w:val="222222"/>
          <w:highlight w:val="white"/>
          <w:rtl w:val="0"/>
        </w:rPr>
        <w:t xml:space="preserve">Instructions for use</w:t>
      </w:r>
    </w:p>
    <w:p w:rsidR="00000000" w:rsidDel="00000000" w:rsidP="00000000" w:rsidRDefault="00000000" w:rsidRPr="00000000" w14:paraId="00000005">
      <w:pPr>
        <w:rPr>
          <w:color w:val="222222"/>
          <w:highlight w:val="white"/>
        </w:rPr>
      </w:pPr>
      <w:r w:rsidDel="00000000" w:rsidR="00000000" w:rsidRPr="00000000">
        <w:rPr>
          <w:color w:val="222222"/>
          <w:highlight w:val="white"/>
          <w:rtl w:val="0"/>
        </w:rPr>
        <w:t xml:space="preserve">BioRePeelCl3 is a biphasic acid medical device containing trichloroacetic acid, tartaric acid, citric acid, salicylic acid, lactobionic acid, gamma-aminobutyric acid, arginine, proline, hydroxyproline, ascorbyl glucoside, riboflavin, isopropyl myristate, and squalane.</w:t>
      </w:r>
    </w:p>
    <w:p w:rsidR="00000000" w:rsidDel="00000000" w:rsidP="00000000" w:rsidRDefault="00000000" w:rsidRPr="00000000" w14:paraId="00000006">
      <w:pPr>
        <w:rPr>
          <w:color w:val="222222"/>
          <w:highlight w:val="white"/>
        </w:rPr>
      </w:pPr>
      <w:r w:rsidDel="00000000" w:rsidR="00000000" w:rsidRPr="00000000">
        <w:rPr>
          <w:rtl w:val="0"/>
        </w:rPr>
      </w:r>
    </w:p>
    <w:p w:rsidR="00000000" w:rsidDel="00000000" w:rsidP="00000000" w:rsidRDefault="00000000" w:rsidRPr="00000000" w14:paraId="00000007">
      <w:pPr>
        <w:rPr>
          <w:color w:val="222222"/>
          <w:highlight w:val="white"/>
        </w:rPr>
      </w:pPr>
      <w:r w:rsidDel="00000000" w:rsidR="00000000" w:rsidRPr="00000000">
        <w:rPr>
          <w:color w:val="222222"/>
          <w:highlight w:val="white"/>
          <w:rtl w:val="0"/>
        </w:rPr>
        <w:t xml:space="preserve">BioRePeelCl3 is a medical device with an exfoliating and coadjuvant action in the treatment of acne and in the prevention of recurrence. It creates favorable conditions for the recovery of the physiological skin layer in the event of an acne lesion, prevents the formation of acne scars, and counteracts recent superficial scarring results.</w:t>
      </w:r>
    </w:p>
    <w:p w:rsidR="00000000" w:rsidDel="00000000" w:rsidP="00000000" w:rsidRDefault="00000000" w:rsidRPr="00000000" w14:paraId="00000008">
      <w:pPr>
        <w:rPr>
          <w:color w:val="222222"/>
          <w:highlight w:val="white"/>
        </w:rPr>
      </w:pPr>
      <w:r w:rsidDel="00000000" w:rsidR="00000000" w:rsidRPr="00000000">
        <w:rPr>
          <w:rtl w:val="0"/>
        </w:rPr>
      </w:r>
    </w:p>
    <w:p w:rsidR="00000000" w:rsidDel="00000000" w:rsidP="00000000" w:rsidRDefault="00000000" w:rsidRPr="00000000" w14:paraId="00000009">
      <w:pPr>
        <w:rPr>
          <w:color w:val="222222"/>
          <w:highlight w:val="white"/>
        </w:rPr>
      </w:pPr>
      <w:r w:rsidDel="00000000" w:rsidR="00000000" w:rsidRPr="00000000">
        <w:rPr>
          <w:color w:val="222222"/>
          <w:highlight w:val="white"/>
          <w:rtl w:val="0"/>
        </w:rPr>
        <w:t xml:space="preserve">The device produces an exfoliating effect on the skin, thanks to the acidic pH and the chemical properties of its components, promoting the mechanical elimination of damaged and degenerated epidermal cells, which will be replaced by normal epidermal cells, helping to restore the skin's optimal physiological conditions. </w:t>
      </w:r>
    </w:p>
    <w:p w:rsidR="00000000" w:rsidDel="00000000" w:rsidP="00000000" w:rsidRDefault="00000000" w:rsidRPr="00000000" w14:paraId="0000000A">
      <w:pPr>
        <w:rPr>
          <w:color w:val="222222"/>
          <w:highlight w:val="white"/>
        </w:rPr>
      </w:pPr>
      <w:r w:rsidDel="00000000" w:rsidR="00000000" w:rsidRPr="00000000">
        <w:rPr>
          <w:rtl w:val="0"/>
        </w:rPr>
      </w:r>
    </w:p>
    <w:p w:rsidR="00000000" w:rsidDel="00000000" w:rsidP="00000000" w:rsidRDefault="00000000" w:rsidRPr="00000000" w14:paraId="0000000B">
      <w:pPr>
        <w:jc w:val="center"/>
        <w:rPr>
          <w:color w:val="222222"/>
          <w:highlight w:val="white"/>
        </w:rPr>
      </w:pPr>
      <w:r w:rsidDel="00000000" w:rsidR="00000000" w:rsidRPr="00000000">
        <w:rPr>
          <w:b w:val="1"/>
          <w:color w:val="222222"/>
          <w:highlight w:val="white"/>
          <w:rtl w:val="0"/>
        </w:rPr>
        <w:t xml:space="preserve">Directions for use:</w:t>
      </w:r>
      <w:r w:rsidDel="00000000" w:rsidR="00000000" w:rsidRPr="00000000">
        <w:rPr>
          <w:rtl w:val="0"/>
        </w:rPr>
      </w:r>
    </w:p>
    <w:p w:rsidR="00000000" w:rsidDel="00000000" w:rsidP="00000000" w:rsidRDefault="00000000" w:rsidRPr="00000000" w14:paraId="0000000C">
      <w:pPr>
        <w:numPr>
          <w:ilvl w:val="0"/>
          <w:numId w:val="4"/>
        </w:numPr>
        <w:ind w:left="720" w:hanging="360"/>
        <w:rPr>
          <w:color w:val="222222"/>
          <w:highlight w:val="white"/>
          <w:u w:val="none"/>
        </w:rPr>
      </w:pPr>
      <w:r w:rsidDel="00000000" w:rsidR="00000000" w:rsidRPr="00000000">
        <w:rPr>
          <w:color w:val="222222"/>
          <w:highlight w:val="white"/>
          <w:rtl w:val="0"/>
        </w:rPr>
        <w:t xml:space="preserve">. Acne</w:t>
      </w:r>
    </w:p>
    <w:p w:rsidR="00000000" w:rsidDel="00000000" w:rsidP="00000000" w:rsidRDefault="00000000" w:rsidRPr="00000000" w14:paraId="0000000D">
      <w:pPr>
        <w:numPr>
          <w:ilvl w:val="0"/>
          <w:numId w:val="4"/>
        </w:numPr>
        <w:ind w:left="720" w:hanging="360"/>
        <w:rPr>
          <w:color w:val="222222"/>
          <w:highlight w:val="white"/>
          <w:u w:val="none"/>
        </w:rPr>
      </w:pPr>
      <w:r w:rsidDel="00000000" w:rsidR="00000000" w:rsidRPr="00000000">
        <w:rPr>
          <w:color w:val="222222"/>
          <w:highlight w:val="white"/>
          <w:rtl w:val="0"/>
        </w:rPr>
        <w:t xml:space="preserve">. Reduction of recent superficial scarring results</w:t>
      </w:r>
    </w:p>
    <w:p w:rsidR="00000000" w:rsidDel="00000000" w:rsidP="00000000" w:rsidRDefault="00000000" w:rsidRPr="00000000" w14:paraId="0000000E">
      <w:pPr>
        <w:numPr>
          <w:ilvl w:val="0"/>
          <w:numId w:val="4"/>
        </w:numPr>
        <w:ind w:left="720" w:hanging="360"/>
        <w:rPr>
          <w:color w:val="222222"/>
          <w:highlight w:val="white"/>
          <w:u w:val="none"/>
        </w:rPr>
      </w:pPr>
      <w:r w:rsidDel="00000000" w:rsidR="00000000" w:rsidRPr="00000000">
        <w:rPr>
          <w:color w:val="222222"/>
          <w:highlight w:val="white"/>
          <w:rtl w:val="0"/>
        </w:rPr>
        <w:t xml:space="preserve">. Prevention of scar formation</w:t>
      </w:r>
    </w:p>
    <w:p w:rsidR="00000000" w:rsidDel="00000000" w:rsidP="00000000" w:rsidRDefault="00000000" w:rsidRPr="00000000" w14:paraId="0000000F">
      <w:pPr>
        <w:numPr>
          <w:ilvl w:val="0"/>
          <w:numId w:val="4"/>
        </w:numPr>
        <w:ind w:left="720" w:hanging="360"/>
        <w:rPr>
          <w:color w:val="222222"/>
          <w:highlight w:val="white"/>
          <w:u w:val="none"/>
        </w:rPr>
      </w:pPr>
      <w:r w:rsidDel="00000000" w:rsidR="00000000" w:rsidRPr="00000000">
        <w:rPr>
          <w:color w:val="222222"/>
          <w:highlight w:val="white"/>
          <w:rtl w:val="0"/>
        </w:rPr>
        <w:t xml:space="preserve">. Reduction of acne relapses </w:t>
      </w:r>
    </w:p>
    <w:p w:rsidR="00000000" w:rsidDel="00000000" w:rsidP="00000000" w:rsidRDefault="00000000" w:rsidRPr="00000000" w14:paraId="00000010">
      <w:pPr>
        <w:rPr>
          <w:color w:val="222222"/>
          <w:highlight w:val="white"/>
        </w:rPr>
      </w:pPr>
      <w:r w:rsidDel="00000000" w:rsidR="00000000" w:rsidRPr="00000000">
        <w:rPr>
          <w:rtl w:val="0"/>
        </w:rPr>
      </w:r>
    </w:p>
    <w:p w:rsidR="00000000" w:rsidDel="00000000" w:rsidP="00000000" w:rsidRDefault="00000000" w:rsidRPr="00000000" w14:paraId="00000011">
      <w:pPr>
        <w:jc w:val="center"/>
        <w:rPr>
          <w:b w:val="1"/>
          <w:color w:val="222222"/>
          <w:highlight w:val="white"/>
        </w:rPr>
      </w:pPr>
      <w:r w:rsidDel="00000000" w:rsidR="00000000" w:rsidRPr="00000000">
        <w:rPr>
          <w:b w:val="1"/>
          <w:color w:val="222222"/>
          <w:highlight w:val="white"/>
          <w:rtl w:val="0"/>
        </w:rPr>
        <w:t xml:space="preserve">Side Effects:</w:t>
      </w:r>
    </w:p>
    <w:p w:rsidR="00000000" w:rsidDel="00000000" w:rsidP="00000000" w:rsidRDefault="00000000" w:rsidRPr="00000000" w14:paraId="00000012">
      <w:pPr>
        <w:numPr>
          <w:ilvl w:val="0"/>
          <w:numId w:val="1"/>
        </w:numPr>
        <w:ind w:left="720" w:hanging="360"/>
        <w:rPr>
          <w:color w:val="222222"/>
          <w:highlight w:val="white"/>
          <w:u w:val="none"/>
        </w:rPr>
      </w:pPr>
      <w:r w:rsidDel="00000000" w:rsidR="00000000" w:rsidRPr="00000000">
        <w:rPr>
          <w:color w:val="222222"/>
          <w:highlight w:val="white"/>
          <w:rtl w:val="0"/>
        </w:rPr>
        <w:t xml:space="preserve">Do not use in case of ascertained sensitivity to the</w:t>
      </w:r>
    </w:p>
    <w:p w:rsidR="00000000" w:rsidDel="00000000" w:rsidP="00000000" w:rsidRDefault="00000000" w:rsidRPr="00000000" w14:paraId="00000013">
      <w:pPr>
        <w:ind w:left="720" w:firstLine="0"/>
        <w:rPr>
          <w:color w:val="222222"/>
          <w:highlight w:val="white"/>
        </w:rPr>
      </w:pPr>
      <w:r w:rsidDel="00000000" w:rsidR="00000000" w:rsidRPr="00000000">
        <w:rPr>
          <w:color w:val="222222"/>
          <w:highlight w:val="white"/>
          <w:rtl w:val="0"/>
        </w:rPr>
        <w:t xml:space="preserve">components.</w:t>
      </w:r>
    </w:p>
    <w:p w:rsidR="00000000" w:rsidDel="00000000" w:rsidP="00000000" w:rsidRDefault="00000000" w:rsidRPr="00000000" w14:paraId="00000014">
      <w:pPr>
        <w:numPr>
          <w:ilvl w:val="0"/>
          <w:numId w:val="1"/>
        </w:numPr>
        <w:ind w:left="720" w:hanging="360"/>
        <w:rPr>
          <w:color w:val="222222"/>
          <w:highlight w:val="white"/>
          <w:u w:val="none"/>
        </w:rPr>
      </w:pPr>
      <w:r w:rsidDel="00000000" w:rsidR="00000000" w:rsidRPr="00000000">
        <w:rPr>
          <w:color w:val="222222"/>
          <w:highlight w:val="white"/>
          <w:rtl w:val="0"/>
        </w:rPr>
        <w:t xml:space="preserve">Do not use on people allergic to salicylates.</w:t>
      </w:r>
    </w:p>
    <w:p w:rsidR="00000000" w:rsidDel="00000000" w:rsidP="00000000" w:rsidRDefault="00000000" w:rsidRPr="00000000" w14:paraId="00000015">
      <w:pPr>
        <w:numPr>
          <w:ilvl w:val="0"/>
          <w:numId w:val="1"/>
        </w:numPr>
        <w:ind w:left="720" w:hanging="360"/>
        <w:rPr>
          <w:color w:val="222222"/>
          <w:highlight w:val="white"/>
          <w:u w:val="none"/>
        </w:rPr>
      </w:pPr>
      <w:r w:rsidDel="00000000" w:rsidR="00000000" w:rsidRPr="00000000">
        <w:rPr>
          <w:color w:val="222222"/>
          <w:highlight w:val="white"/>
          <w:rtl w:val="0"/>
        </w:rPr>
        <w:t xml:space="preserve">Slight redness of the skin may occur, which will</w:t>
      </w:r>
    </w:p>
    <w:p w:rsidR="00000000" w:rsidDel="00000000" w:rsidP="00000000" w:rsidRDefault="00000000" w:rsidRPr="00000000" w14:paraId="00000016">
      <w:pPr>
        <w:ind w:left="720" w:firstLine="0"/>
        <w:rPr>
          <w:color w:val="222222"/>
          <w:highlight w:val="white"/>
        </w:rPr>
      </w:pPr>
      <w:r w:rsidDel="00000000" w:rsidR="00000000" w:rsidRPr="00000000">
        <w:rPr>
          <w:color w:val="222222"/>
          <w:highlight w:val="white"/>
          <w:rtl w:val="0"/>
        </w:rPr>
        <w:t xml:space="preserve">disappear 24-48 hours after treatment.</w:t>
      </w:r>
    </w:p>
    <w:p w:rsidR="00000000" w:rsidDel="00000000" w:rsidP="00000000" w:rsidRDefault="00000000" w:rsidRPr="00000000" w14:paraId="00000017">
      <w:pPr>
        <w:numPr>
          <w:ilvl w:val="0"/>
          <w:numId w:val="1"/>
        </w:numPr>
        <w:ind w:left="720" w:hanging="360"/>
        <w:rPr>
          <w:color w:val="222222"/>
          <w:highlight w:val="white"/>
          <w:u w:val="none"/>
        </w:rPr>
      </w:pPr>
      <w:r w:rsidDel="00000000" w:rsidR="00000000" w:rsidRPr="00000000">
        <w:rPr>
          <w:color w:val="222222"/>
          <w:highlight w:val="white"/>
          <w:rtl w:val="0"/>
        </w:rPr>
        <w:t xml:space="preserve">Do not use the product if there are pathologies and/</w:t>
      </w:r>
    </w:p>
    <w:p w:rsidR="00000000" w:rsidDel="00000000" w:rsidP="00000000" w:rsidRDefault="00000000" w:rsidRPr="00000000" w14:paraId="00000018">
      <w:pPr>
        <w:ind w:left="720" w:firstLine="0"/>
        <w:rPr>
          <w:color w:val="222222"/>
          <w:highlight w:val="white"/>
        </w:rPr>
      </w:pPr>
      <w:r w:rsidDel="00000000" w:rsidR="00000000" w:rsidRPr="00000000">
        <w:rPr>
          <w:color w:val="222222"/>
          <w:highlight w:val="white"/>
          <w:rtl w:val="0"/>
        </w:rPr>
        <w:t xml:space="preserve">or infections affecting the skin, such as dermatitis</w:t>
      </w:r>
    </w:p>
    <w:p w:rsidR="00000000" w:rsidDel="00000000" w:rsidP="00000000" w:rsidRDefault="00000000" w:rsidRPr="00000000" w14:paraId="00000019">
      <w:pPr>
        <w:ind w:left="720" w:firstLine="0"/>
        <w:rPr>
          <w:color w:val="222222"/>
          <w:highlight w:val="white"/>
        </w:rPr>
      </w:pPr>
      <w:r w:rsidDel="00000000" w:rsidR="00000000" w:rsidRPr="00000000">
        <w:rPr>
          <w:color w:val="222222"/>
          <w:highlight w:val="white"/>
          <w:rtl w:val="0"/>
        </w:rPr>
        <w:t xml:space="preserve">or herpes.</w:t>
      </w:r>
    </w:p>
    <w:p w:rsidR="00000000" w:rsidDel="00000000" w:rsidP="00000000" w:rsidRDefault="00000000" w:rsidRPr="00000000" w14:paraId="0000001A">
      <w:pPr>
        <w:numPr>
          <w:ilvl w:val="0"/>
          <w:numId w:val="1"/>
        </w:numPr>
        <w:ind w:left="720" w:hanging="360"/>
        <w:rPr>
          <w:color w:val="222222"/>
          <w:highlight w:val="white"/>
          <w:u w:val="none"/>
        </w:rPr>
      </w:pPr>
      <w:r w:rsidDel="00000000" w:rsidR="00000000" w:rsidRPr="00000000">
        <w:rPr>
          <w:color w:val="222222"/>
          <w:highlight w:val="white"/>
          <w:rtl w:val="0"/>
        </w:rPr>
        <w:t xml:space="preserve">Use with caution on patients with keloids.</w:t>
      </w:r>
    </w:p>
    <w:p w:rsidR="00000000" w:rsidDel="00000000" w:rsidP="00000000" w:rsidRDefault="00000000" w:rsidRPr="00000000" w14:paraId="0000001B">
      <w:pPr>
        <w:numPr>
          <w:ilvl w:val="0"/>
          <w:numId w:val="1"/>
        </w:numPr>
        <w:ind w:left="720" w:hanging="360"/>
        <w:rPr>
          <w:color w:val="222222"/>
          <w:highlight w:val="white"/>
          <w:u w:val="none"/>
        </w:rPr>
      </w:pPr>
      <w:r w:rsidDel="00000000" w:rsidR="00000000" w:rsidRPr="00000000">
        <w:rPr>
          <w:color w:val="222222"/>
          <w:highlight w:val="white"/>
          <w:rtl w:val="0"/>
        </w:rPr>
        <w:t xml:space="preserve">Do not use if pregnant or nursing.</w:t>
      </w:r>
    </w:p>
    <w:p w:rsidR="00000000" w:rsidDel="00000000" w:rsidP="00000000" w:rsidRDefault="00000000" w:rsidRPr="00000000" w14:paraId="0000001C">
      <w:pPr>
        <w:ind w:left="720" w:firstLine="0"/>
        <w:rPr>
          <w:color w:val="222222"/>
          <w:highlight w:val="white"/>
        </w:rPr>
      </w:pPr>
      <w:r w:rsidDel="00000000" w:rsidR="00000000" w:rsidRPr="00000000">
        <w:rPr>
          <w:rtl w:val="0"/>
        </w:rPr>
      </w:r>
    </w:p>
    <w:p w:rsidR="00000000" w:rsidDel="00000000" w:rsidP="00000000" w:rsidRDefault="00000000" w:rsidRPr="00000000" w14:paraId="0000001D">
      <w:pPr>
        <w:ind w:left="720" w:firstLine="0"/>
        <w:jc w:val="center"/>
        <w:rPr>
          <w:b w:val="1"/>
          <w:color w:val="222222"/>
          <w:highlight w:val="white"/>
        </w:rPr>
      </w:pPr>
      <w:r w:rsidDel="00000000" w:rsidR="00000000" w:rsidRPr="00000000">
        <w:rPr>
          <w:b w:val="1"/>
          <w:color w:val="222222"/>
          <w:highlight w:val="white"/>
          <w:rtl w:val="0"/>
        </w:rPr>
        <w:t xml:space="preserve">Usage protocol and intended use:</w:t>
      </w:r>
    </w:p>
    <w:p w:rsidR="00000000" w:rsidDel="00000000" w:rsidP="00000000" w:rsidRDefault="00000000" w:rsidRPr="00000000" w14:paraId="0000001E">
      <w:pPr>
        <w:ind w:left="0" w:firstLine="0"/>
        <w:rPr>
          <w:color w:val="222222"/>
          <w:highlight w:val="white"/>
        </w:rPr>
      </w:pPr>
      <w:r w:rsidDel="00000000" w:rsidR="00000000" w:rsidRPr="00000000">
        <w:rPr>
          <w:b w:val="1"/>
          <w:color w:val="222222"/>
          <w:highlight w:val="white"/>
          <w:rtl w:val="0"/>
        </w:rPr>
        <w:t xml:space="preserve">FND</w:t>
      </w:r>
      <w:r w:rsidDel="00000000" w:rsidR="00000000" w:rsidRPr="00000000">
        <w:rPr>
          <w:color w:val="222222"/>
          <w:highlight w:val="white"/>
          <w:rtl w:val="0"/>
        </w:rPr>
        <w:t xml:space="preserve"> - Use: face, neck, décolletage.</w:t>
      </w:r>
    </w:p>
    <w:p w:rsidR="00000000" w:rsidDel="00000000" w:rsidP="00000000" w:rsidRDefault="00000000" w:rsidRPr="00000000" w14:paraId="0000001F">
      <w:pPr>
        <w:ind w:left="0" w:firstLine="0"/>
        <w:rPr>
          <w:color w:val="222222"/>
          <w:highlight w:val="white"/>
        </w:rPr>
      </w:pPr>
      <w:r w:rsidDel="00000000" w:rsidR="00000000" w:rsidRPr="00000000">
        <w:rPr>
          <w:color w:val="222222"/>
          <w:highlight w:val="white"/>
          <w:rtl w:val="0"/>
        </w:rPr>
        <w:t xml:space="preserve">Perform the treatment every 7-10 days for at least  4-6 sessions, depending on the doctor's opinion  and the treatment objectives. Place for 3-5 minutes,  depending on the patient's perception.</w:t>
      </w:r>
    </w:p>
    <w:p w:rsidR="00000000" w:rsidDel="00000000" w:rsidP="00000000" w:rsidRDefault="00000000" w:rsidRPr="00000000" w14:paraId="00000020">
      <w:pPr>
        <w:ind w:left="0" w:firstLine="0"/>
        <w:rPr>
          <w:color w:val="222222"/>
          <w:highlight w:val="white"/>
        </w:rPr>
      </w:pPr>
      <w:r w:rsidDel="00000000" w:rsidR="00000000" w:rsidRPr="00000000">
        <w:rPr>
          <w:rtl w:val="0"/>
        </w:rPr>
      </w:r>
    </w:p>
    <w:tbl>
      <w:tblPr>
        <w:tblStyle w:val="Table1"/>
        <w:tblW w:w="9029.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514.5"/>
        <w:gridCol w:w="4514.5"/>
        <w:tblGridChange w:id="0">
          <w:tblGrid>
            <w:gridCol w:w="4514.5"/>
            <w:gridCol w:w="4514.5"/>
          </w:tblGrid>
        </w:tblGridChange>
      </w:tblGrid>
      <w:tr>
        <w:trPr>
          <w:cantSplit w:val="0"/>
          <w:tblHeader w:val="0"/>
        </w:trPr>
        <w:tc>
          <w:tcPr>
            <w:shd w:fill="efefef" w:val="clear"/>
            <w:tcMar>
              <w:top w:w="100.0" w:type="dxa"/>
              <w:left w:w="100.0" w:type="dxa"/>
              <w:bottom w:w="100.0" w:type="dxa"/>
              <w:right w:w="100.0" w:type="dxa"/>
            </w:tcMar>
            <w:vAlign w:val="top"/>
          </w:tcPr>
          <w:p w:rsidR="00000000" w:rsidDel="00000000" w:rsidP="00000000" w:rsidRDefault="00000000" w:rsidRPr="00000000" w14:paraId="000000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222222"/>
                <w:highlight w:val="white"/>
              </w:rPr>
            </w:pPr>
            <w:r w:rsidDel="00000000" w:rsidR="00000000" w:rsidRPr="00000000">
              <w:rPr>
                <w:color w:val="222222"/>
                <w:highlight w:val="white"/>
                <w:rtl w:val="0"/>
              </w:rPr>
              <w:t xml:space="preserve">FND</w:t>
            </w:r>
          </w:p>
        </w:tc>
        <w:tc>
          <w:tcPr>
            <w:shd w:fill="efefef" w:val="clear"/>
            <w:tcMar>
              <w:top w:w="100.0" w:type="dxa"/>
              <w:left w:w="100.0" w:type="dxa"/>
              <w:bottom w:w="100.0" w:type="dxa"/>
              <w:right w:w="100.0" w:type="dxa"/>
            </w:tcMar>
            <w:vAlign w:val="top"/>
          </w:tcPr>
          <w:p w:rsidR="00000000" w:rsidDel="00000000" w:rsidP="00000000" w:rsidRDefault="00000000" w:rsidRPr="00000000" w14:paraId="000000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222222"/>
                <w:highlight w:val="white"/>
              </w:rPr>
            </w:pPr>
            <w:r w:rsidDel="00000000" w:rsidR="00000000" w:rsidRPr="00000000">
              <w:rPr>
                <w:color w:val="222222"/>
                <w:highlight w:val="white"/>
                <w:rtl w:val="0"/>
              </w:rPr>
              <w:t xml:space="preserve">Usage volume (ml)</w:t>
            </w:r>
          </w:p>
        </w:tc>
      </w:tr>
      <w:tr>
        <w:trPr>
          <w:cantSplit w:val="0"/>
          <w:trHeight w:val="447.97851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222222"/>
                <w:highlight w:val="white"/>
              </w:rPr>
            </w:pPr>
            <w:r w:rsidDel="00000000" w:rsidR="00000000" w:rsidRPr="00000000">
              <w:rPr>
                <w:color w:val="222222"/>
                <w:highlight w:val="white"/>
                <w:rtl w:val="0"/>
              </w:rPr>
              <w:t xml:space="preserve">Face</w:t>
            </w:r>
          </w:p>
        </w:tc>
        <w:tc>
          <w:tcPr>
            <w:shd w:fill="auto" w:val="clear"/>
            <w:tcMar>
              <w:top w:w="100.0" w:type="dxa"/>
              <w:left w:w="100.0" w:type="dxa"/>
              <w:bottom w:w="100.0" w:type="dxa"/>
              <w:right w:w="100.0" w:type="dxa"/>
            </w:tcMar>
            <w:vAlign w:val="top"/>
          </w:tcPr>
          <w:p w:rsidR="00000000" w:rsidDel="00000000" w:rsidP="00000000" w:rsidRDefault="00000000" w:rsidRPr="00000000" w14:paraId="000000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222222"/>
                <w:highlight w:val="white"/>
              </w:rPr>
            </w:pPr>
            <w:r w:rsidDel="00000000" w:rsidR="00000000" w:rsidRPr="00000000">
              <w:rPr>
                <w:color w:val="222222"/>
                <w:highlight w:val="white"/>
                <w:rtl w:val="0"/>
              </w:rPr>
              <w:t xml:space="preserve">1,5-2 ml</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222222"/>
                <w:highlight w:val="white"/>
              </w:rPr>
            </w:pPr>
            <w:r w:rsidDel="00000000" w:rsidR="00000000" w:rsidRPr="00000000">
              <w:rPr>
                <w:color w:val="222222"/>
                <w:highlight w:val="white"/>
                <w:rtl w:val="0"/>
              </w:rPr>
              <w:t xml:space="preserve">Neck</w:t>
            </w:r>
          </w:p>
        </w:tc>
        <w:tc>
          <w:tcPr>
            <w:shd w:fill="auto" w:val="clear"/>
            <w:tcMar>
              <w:top w:w="100.0" w:type="dxa"/>
              <w:left w:w="100.0" w:type="dxa"/>
              <w:bottom w:w="100.0" w:type="dxa"/>
              <w:right w:w="100.0" w:type="dxa"/>
            </w:tcMar>
            <w:vAlign w:val="top"/>
          </w:tcPr>
          <w:p w:rsidR="00000000" w:rsidDel="00000000" w:rsidP="00000000" w:rsidRDefault="00000000" w:rsidRPr="00000000" w14:paraId="000000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222222"/>
                <w:highlight w:val="white"/>
              </w:rPr>
            </w:pPr>
            <w:r w:rsidDel="00000000" w:rsidR="00000000" w:rsidRPr="00000000">
              <w:rPr>
                <w:color w:val="222222"/>
                <w:highlight w:val="white"/>
                <w:rtl w:val="0"/>
              </w:rPr>
              <w:t xml:space="preserve">1-1,5 ml</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222222"/>
                <w:highlight w:val="white"/>
              </w:rPr>
            </w:pPr>
            <w:r w:rsidDel="00000000" w:rsidR="00000000" w:rsidRPr="00000000">
              <w:rPr>
                <w:color w:val="222222"/>
                <w:highlight w:val="white"/>
                <w:rtl w:val="0"/>
              </w:rPr>
              <w:t xml:space="preserve">Décolletage</w:t>
            </w:r>
          </w:p>
        </w:tc>
        <w:tc>
          <w:tcPr>
            <w:shd w:fill="auto" w:val="clear"/>
            <w:tcMar>
              <w:top w:w="100.0" w:type="dxa"/>
              <w:left w:w="100.0" w:type="dxa"/>
              <w:bottom w:w="100.0" w:type="dxa"/>
              <w:right w:w="100.0" w:type="dxa"/>
            </w:tcMar>
            <w:vAlign w:val="top"/>
          </w:tcPr>
          <w:p w:rsidR="00000000" w:rsidDel="00000000" w:rsidP="00000000" w:rsidRDefault="00000000" w:rsidRPr="00000000" w14:paraId="000000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222222"/>
                <w:highlight w:val="white"/>
              </w:rPr>
            </w:pPr>
            <w:r w:rsidDel="00000000" w:rsidR="00000000" w:rsidRPr="00000000">
              <w:rPr>
                <w:color w:val="222222"/>
                <w:highlight w:val="white"/>
                <w:rtl w:val="0"/>
              </w:rPr>
              <w:t xml:space="preserve">2-2,5 ml</w:t>
            </w:r>
          </w:p>
        </w:tc>
      </w:tr>
    </w:tbl>
    <w:p w:rsidR="00000000" w:rsidDel="00000000" w:rsidP="00000000" w:rsidRDefault="00000000" w:rsidRPr="00000000" w14:paraId="00000029">
      <w:pPr>
        <w:ind w:left="0" w:firstLine="0"/>
        <w:rPr>
          <w:color w:val="222222"/>
          <w:highlight w:val="white"/>
        </w:rPr>
      </w:pPr>
      <w:r w:rsidDel="00000000" w:rsidR="00000000" w:rsidRPr="00000000">
        <w:rPr>
          <w:rtl w:val="0"/>
        </w:rPr>
      </w:r>
    </w:p>
    <w:p w:rsidR="00000000" w:rsidDel="00000000" w:rsidP="00000000" w:rsidRDefault="00000000" w:rsidRPr="00000000" w14:paraId="0000002A">
      <w:pPr>
        <w:ind w:left="0" w:firstLine="0"/>
        <w:rPr>
          <w:color w:val="222222"/>
          <w:highlight w:val="white"/>
        </w:rPr>
      </w:pPr>
      <w:r w:rsidDel="00000000" w:rsidR="00000000" w:rsidRPr="00000000">
        <w:rPr>
          <w:b w:val="1"/>
          <w:color w:val="222222"/>
          <w:highlight w:val="white"/>
          <w:rtl w:val="0"/>
        </w:rPr>
        <w:t xml:space="preserve">Body</w:t>
      </w:r>
      <w:r w:rsidDel="00000000" w:rsidR="00000000" w:rsidRPr="00000000">
        <w:rPr>
          <w:color w:val="222222"/>
          <w:highlight w:val="white"/>
          <w:rtl w:val="0"/>
        </w:rPr>
        <w:t xml:space="preserve"> - Use: body.</w:t>
      </w:r>
    </w:p>
    <w:p w:rsidR="00000000" w:rsidDel="00000000" w:rsidP="00000000" w:rsidRDefault="00000000" w:rsidRPr="00000000" w14:paraId="0000002B">
      <w:pPr>
        <w:ind w:left="0" w:firstLine="0"/>
        <w:rPr>
          <w:color w:val="222222"/>
          <w:highlight w:val="white"/>
        </w:rPr>
      </w:pPr>
      <w:r w:rsidDel="00000000" w:rsidR="00000000" w:rsidRPr="00000000">
        <w:rPr>
          <w:color w:val="222222"/>
          <w:highlight w:val="white"/>
          <w:rtl w:val="0"/>
        </w:rPr>
        <w:t xml:space="preserve">Perform the treatment every 10-12 days for at least 4-6 sessions, depending on the doctor's opinion and the treatment objectives. Place for 3-10 minutes, depending on the patient's perception.</w:t>
      </w:r>
    </w:p>
    <w:p w:rsidR="00000000" w:rsidDel="00000000" w:rsidP="00000000" w:rsidRDefault="00000000" w:rsidRPr="00000000" w14:paraId="0000002C">
      <w:pPr>
        <w:ind w:left="0" w:firstLine="0"/>
        <w:rPr>
          <w:color w:val="222222"/>
          <w:highlight w:val="white"/>
        </w:rPr>
      </w:pPr>
      <w:r w:rsidDel="00000000" w:rsidR="00000000" w:rsidRPr="00000000">
        <w:rPr>
          <w:rtl w:val="0"/>
        </w:rPr>
      </w:r>
    </w:p>
    <w:tbl>
      <w:tblPr>
        <w:tblStyle w:val="Table2"/>
        <w:tblW w:w="9029.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514.5"/>
        <w:gridCol w:w="4514.5"/>
        <w:tblGridChange w:id="0">
          <w:tblGrid>
            <w:gridCol w:w="4514.5"/>
            <w:gridCol w:w="4514.5"/>
          </w:tblGrid>
        </w:tblGridChange>
      </w:tblGrid>
      <w:tr>
        <w:trPr>
          <w:cantSplit w:val="0"/>
          <w:tblHeader w:val="0"/>
        </w:trPr>
        <w:tc>
          <w:tcPr>
            <w:shd w:fill="d9d9d9" w:val="clear"/>
            <w:tcMar>
              <w:top w:w="100.0" w:type="dxa"/>
              <w:left w:w="100.0" w:type="dxa"/>
              <w:bottom w:w="100.0" w:type="dxa"/>
              <w:right w:w="100.0" w:type="dxa"/>
            </w:tcMar>
            <w:vAlign w:val="top"/>
          </w:tcPr>
          <w:p w:rsidR="00000000" w:rsidDel="00000000" w:rsidP="00000000" w:rsidRDefault="00000000" w:rsidRPr="00000000" w14:paraId="000000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222222"/>
                <w:highlight w:val="white"/>
              </w:rPr>
            </w:pPr>
            <w:r w:rsidDel="00000000" w:rsidR="00000000" w:rsidRPr="00000000">
              <w:rPr>
                <w:color w:val="222222"/>
                <w:highlight w:val="white"/>
                <w:rtl w:val="0"/>
              </w:rPr>
              <w:t xml:space="preserve">Body</w:t>
            </w:r>
          </w:p>
        </w:tc>
        <w:tc>
          <w:tcPr>
            <w:shd w:fill="d9d9d9" w:val="clear"/>
            <w:tcMar>
              <w:top w:w="100.0" w:type="dxa"/>
              <w:left w:w="100.0" w:type="dxa"/>
              <w:bottom w:w="100.0" w:type="dxa"/>
              <w:right w:w="100.0" w:type="dxa"/>
            </w:tcMar>
            <w:vAlign w:val="top"/>
          </w:tcPr>
          <w:p w:rsidR="00000000" w:rsidDel="00000000" w:rsidP="00000000" w:rsidRDefault="00000000" w:rsidRPr="00000000" w14:paraId="0000002E">
            <w:pPr>
              <w:widowControl w:val="0"/>
              <w:spacing w:line="240" w:lineRule="auto"/>
              <w:rPr>
                <w:color w:val="222222"/>
                <w:highlight w:val="white"/>
              </w:rPr>
            </w:pPr>
            <w:r w:rsidDel="00000000" w:rsidR="00000000" w:rsidRPr="00000000">
              <w:rPr>
                <w:color w:val="222222"/>
                <w:highlight w:val="white"/>
                <w:rtl w:val="0"/>
              </w:rPr>
              <w:t xml:space="preserve">Usage volume (ml)</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222222"/>
                <w:highlight w:val="white"/>
              </w:rPr>
            </w:pPr>
            <w:r w:rsidDel="00000000" w:rsidR="00000000" w:rsidRPr="00000000">
              <w:rPr>
                <w:color w:val="222222"/>
                <w:highlight w:val="white"/>
                <w:rtl w:val="0"/>
              </w:rPr>
              <w:t xml:space="preserve">Back</w:t>
            </w:r>
          </w:p>
        </w:tc>
        <w:tc>
          <w:tcPr>
            <w:shd w:fill="auto" w:val="clear"/>
            <w:tcMar>
              <w:top w:w="100.0" w:type="dxa"/>
              <w:left w:w="100.0" w:type="dxa"/>
              <w:bottom w:w="100.0" w:type="dxa"/>
              <w:right w:w="100.0" w:type="dxa"/>
            </w:tcMar>
            <w:vAlign w:val="top"/>
          </w:tcPr>
          <w:p w:rsidR="00000000" w:rsidDel="00000000" w:rsidP="00000000" w:rsidRDefault="00000000" w:rsidRPr="00000000" w14:paraId="000000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222222"/>
                <w:highlight w:val="white"/>
              </w:rPr>
            </w:pPr>
            <w:r w:rsidDel="00000000" w:rsidR="00000000" w:rsidRPr="00000000">
              <w:rPr>
                <w:color w:val="222222"/>
                <w:highlight w:val="white"/>
                <w:rtl w:val="0"/>
              </w:rPr>
              <w:t xml:space="preserve">6 ml</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222222"/>
                <w:highlight w:val="white"/>
              </w:rPr>
            </w:pPr>
            <w:r w:rsidDel="00000000" w:rsidR="00000000" w:rsidRPr="00000000">
              <w:rPr>
                <w:color w:val="222222"/>
                <w:highlight w:val="white"/>
                <w:rtl w:val="0"/>
              </w:rPr>
              <w:t xml:space="preserve">Shoulders</w:t>
            </w:r>
          </w:p>
        </w:tc>
        <w:tc>
          <w:tcPr>
            <w:shd w:fill="auto" w:val="clear"/>
            <w:tcMar>
              <w:top w:w="100.0" w:type="dxa"/>
              <w:left w:w="100.0" w:type="dxa"/>
              <w:bottom w:w="100.0" w:type="dxa"/>
              <w:right w:w="100.0" w:type="dxa"/>
            </w:tcMar>
            <w:vAlign w:val="top"/>
          </w:tcPr>
          <w:p w:rsidR="00000000" w:rsidDel="00000000" w:rsidP="00000000" w:rsidRDefault="00000000" w:rsidRPr="00000000" w14:paraId="000000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222222"/>
                <w:highlight w:val="white"/>
              </w:rPr>
            </w:pPr>
            <w:r w:rsidDel="00000000" w:rsidR="00000000" w:rsidRPr="00000000">
              <w:rPr>
                <w:color w:val="222222"/>
                <w:highlight w:val="white"/>
                <w:rtl w:val="0"/>
              </w:rPr>
              <w:t xml:space="preserve">3 ml</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222222"/>
                <w:highlight w:val="white"/>
              </w:rPr>
            </w:pPr>
            <w:r w:rsidDel="00000000" w:rsidR="00000000" w:rsidRPr="00000000">
              <w:rPr>
                <w:color w:val="222222"/>
                <w:highlight w:val="white"/>
                <w:rtl w:val="0"/>
              </w:rPr>
              <w:t xml:space="preserve">Buttocks</w:t>
            </w:r>
          </w:p>
        </w:tc>
        <w:tc>
          <w:tcPr>
            <w:shd w:fill="auto" w:val="clear"/>
            <w:tcMar>
              <w:top w:w="100.0" w:type="dxa"/>
              <w:left w:w="100.0" w:type="dxa"/>
              <w:bottom w:w="100.0" w:type="dxa"/>
              <w:right w:w="100.0" w:type="dxa"/>
            </w:tcMar>
            <w:vAlign w:val="top"/>
          </w:tcPr>
          <w:p w:rsidR="00000000" w:rsidDel="00000000" w:rsidP="00000000" w:rsidRDefault="00000000" w:rsidRPr="00000000" w14:paraId="000000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222222"/>
                <w:highlight w:val="white"/>
              </w:rPr>
            </w:pPr>
            <w:r w:rsidDel="00000000" w:rsidR="00000000" w:rsidRPr="00000000">
              <w:rPr>
                <w:color w:val="222222"/>
                <w:highlight w:val="white"/>
                <w:rtl w:val="0"/>
              </w:rPr>
              <w:t xml:space="preserve">4 ml</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222222"/>
                <w:highlight w:val="white"/>
              </w:rPr>
            </w:pPr>
            <w:r w:rsidDel="00000000" w:rsidR="00000000" w:rsidRPr="00000000">
              <w:rPr>
                <w:color w:val="222222"/>
                <w:highlight w:val="white"/>
                <w:rtl w:val="0"/>
              </w:rPr>
              <w:t xml:space="preserve">Legs</w:t>
            </w:r>
          </w:p>
        </w:tc>
        <w:tc>
          <w:tcPr>
            <w:shd w:fill="auto" w:val="clear"/>
            <w:tcMar>
              <w:top w:w="100.0" w:type="dxa"/>
              <w:left w:w="100.0" w:type="dxa"/>
              <w:bottom w:w="100.0" w:type="dxa"/>
              <w:right w:w="100.0" w:type="dxa"/>
            </w:tcMar>
            <w:vAlign w:val="top"/>
          </w:tcPr>
          <w:p w:rsidR="00000000" w:rsidDel="00000000" w:rsidP="00000000" w:rsidRDefault="00000000" w:rsidRPr="00000000" w14:paraId="000000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222222"/>
                <w:highlight w:val="white"/>
              </w:rPr>
            </w:pPr>
            <w:r w:rsidDel="00000000" w:rsidR="00000000" w:rsidRPr="00000000">
              <w:rPr>
                <w:color w:val="222222"/>
                <w:highlight w:val="white"/>
                <w:rtl w:val="0"/>
              </w:rPr>
              <w:t xml:space="preserve">5 ml</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222222"/>
                <w:highlight w:val="white"/>
              </w:rPr>
            </w:pPr>
            <w:r w:rsidDel="00000000" w:rsidR="00000000" w:rsidRPr="00000000">
              <w:rPr>
                <w:color w:val="222222"/>
                <w:highlight w:val="white"/>
                <w:rtl w:val="0"/>
              </w:rPr>
              <w:t xml:space="preserve">Knees</w:t>
            </w:r>
          </w:p>
        </w:tc>
        <w:tc>
          <w:tcPr>
            <w:shd w:fill="auto" w:val="clear"/>
            <w:tcMar>
              <w:top w:w="100.0" w:type="dxa"/>
              <w:left w:w="100.0" w:type="dxa"/>
              <w:bottom w:w="100.0" w:type="dxa"/>
              <w:right w:w="100.0" w:type="dxa"/>
            </w:tcMar>
            <w:vAlign w:val="top"/>
          </w:tcPr>
          <w:p w:rsidR="00000000" w:rsidDel="00000000" w:rsidP="00000000" w:rsidRDefault="00000000" w:rsidRPr="00000000" w14:paraId="000000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222222"/>
                <w:highlight w:val="white"/>
              </w:rPr>
            </w:pPr>
            <w:r w:rsidDel="00000000" w:rsidR="00000000" w:rsidRPr="00000000">
              <w:rPr>
                <w:color w:val="222222"/>
                <w:highlight w:val="white"/>
                <w:rtl w:val="0"/>
              </w:rPr>
              <w:t xml:space="preserve">2 ml</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222222"/>
                <w:highlight w:val="white"/>
              </w:rPr>
            </w:pPr>
            <w:r w:rsidDel="00000000" w:rsidR="00000000" w:rsidRPr="00000000">
              <w:rPr>
                <w:color w:val="222222"/>
                <w:highlight w:val="white"/>
                <w:rtl w:val="0"/>
              </w:rPr>
              <w:t xml:space="preserve">Elbows</w:t>
            </w:r>
          </w:p>
        </w:tc>
        <w:tc>
          <w:tcPr>
            <w:shd w:fill="auto" w:val="clear"/>
            <w:tcMar>
              <w:top w:w="100.0" w:type="dxa"/>
              <w:left w:w="100.0" w:type="dxa"/>
              <w:bottom w:w="100.0" w:type="dxa"/>
              <w:right w:w="100.0" w:type="dxa"/>
            </w:tcMar>
            <w:vAlign w:val="top"/>
          </w:tcPr>
          <w:p w:rsidR="00000000" w:rsidDel="00000000" w:rsidP="00000000" w:rsidRDefault="00000000" w:rsidRPr="00000000" w14:paraId="000000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222222"/>
                <w:highlight w:val="white"/>
              </w:rPr>
            </w:pPr>
            <w:r w:rsidDel="00000000" w:rsidR="00000000" w:rsidRPr="00000000">
              <w:rPr>
                <w:color w:val="222222"/>
                <w:highlight w:val="white"/>
                <w:rtl w:val="0"/>
              </w:rPr>
              <w:t xml:space="preserve">1 ml</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222222"/>
                <w:highlight w:val="white"/>
              </w:rPr>
            </w:pPr>
            <w:r w:rsidDel="00000000" w:rsidR="00000000" w:rsidRPr="00000000">
              <w:rPr>
                <w:color w:val="222222"/>
                <w:highlight w:val="white"/>
                <w:rtl w:val="0"/>
              </w:rPr>
              <w:t xml:space="preserve">Hands</w:t>
            </w:r>
          </w:p>
        </w:tc>
        <w:tc>
          <w:tcPr>
            <w:shd w:fill="auto" w:val="clear"/>
            <w:tcMar>
              <w:top w:w="100.0" w:type="dxa"/>
              <w:left w:w="100.0" w:type="dxa"/>
              <w:bottom w:w="100.0" w:type="dxa"/>
              <w:right w:w="100.0" w:type="dxa"/>
            </w:tcMar>
            <w:vAlign w:val="top"/>
          </w:tcPr>
          <w:p w:rsidR="00000000" w:rsidDel="00000000" w:rsidP="00000000" w:rsidRDefault="00000000" w:rsidRPr="00000000" w14:paraId="000000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222222"/>
                <w:highlight w:val="white"/>
              </w:rPr>
            </w:pPr>
            <w:r w:rsidDel="00000000" w:rsidR="00000000" w:rsidRPr="00000000">
              <w:rPr>
                <w:color w:val="222222"/>
                <w:highlight w:val="white"/>
                <w:rtl w:val="0"/>
              </w:rPr>
              <w:t xml:space="preserve">2 ml</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222222"/>
                <w:highlight w:val="white"/>
              </w:rPr>
            </w:pPr>
            <w:r w:rsidDel="00000000" w:rsidR="00000000" w:rsidRPr="00000000">
              <w:rPr>
                <w:color w:val="222222"/>
                <w:highlight w:val="white"/>
                <w:rtl w:val="0"/>
              </w:rPr>
              <w:t xml:space="preserve">Feet</w:t>
            </w:r>
          </w:p>
        </w:tc>
        <w:tc>
          <w:tcPr>
            <w:shd w:fill="auto" w:val="clear"/>
            <w:tcMar>
              <w:top w:w="100.0" w:type="dxa"/>
              <w:left w:w="100.0" w:type="dxa"/>
              <w:bottom w:w="100.0" w:type="dxa"/>
              <w:right w:w="100.0" w:type="dxa"/>
            </w:tcMar>
            <w:vAlign w:val="top"/>
          </w:tcPr>
          <w:p w:rsidR="00000000" w:rsidDel="00000000" w:rsidP="00000000" w:rsidRDefault="00000000" w:rsidRPr="00000000" w14:paraId="000000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222222"/>
                <w:highlight w:val="white"/>
              </w:rPr>
            </w:pPr>
            <w:r w:rsidDel="00000000" w:rsidR="00000000" w:rsidRPr="00000000">
              <w:rPr>
                <w:color w:val="222222"/>
                <w:highlight w:val="white"/>
                <w:rtl w:val="0"/>
              </w:rPr>
              <w:t xml:space="preserve">3 ml</w:t>
            </w:r>
          </w:p>
        </w:tc>
      </w:tr>
    </w:tbl>
    <w:p w:rsidR="00000000" w:rsidDel="00000000" w:rsidP="00000000" w:rsidRDefault="00000000" w:rsidRPr="00000000" w14:paraId="0000003F">
      <w:pPr>
        <w:ind w:left="0" w:firstLine="0"/>
        <w:rPr>
          <w:color w:val="222222"/>
          <w:highlight w:val="white"/>
        </w:rPr>
      </w:pPr>
      <w:r w:rsidDel="00000000" w:rsidR="00000000" w:rsidRPr="00000000">
        <w:rPr>
          <w:rtl w:val="0"/>
        </w:rPr>
      </w:r>
    </w:p>
    <w:p w:rsidR="00000000" w:rsidDel="00000000" w:rsidP="00000000" w:rsidRDefault="00000000" w:rsidRPr="00000000" w14:paraId="00000040">
      <w:pPr>
        <w:ind w:left="0" w:firstLine="0"/>
        <w:jc w:val="center"/>
        <w:rPr>
          <w:b w:val="1"/>
          <w:color w:val="222222"/>
          <w:highlight w:val="white"/>
        </w:rPr>
      </w:pPr>
      <w:r w:rsidDel="00000000" w:rsidR="00000000" w:rsidRPr="00000000">
        <w:rPr>
          <w:b w:val="1"/>
          <w:color w:val="222222"/>
          <w:highlight w:val="white"/>
          <w:rtl w:val="0"/>
        </w:rPr>
        <w:t xml:space="preserve">Application Method:</w:t>
      </w:r>
    </w:p>
    <w:p w:rsidR="00000000" w:rsidDel="00000000" w:rsidP="00000000" w:rsidRDefault="00000000" w:rsidRPr="00000000" w14:paraId="00000041">
      <w:pPr>
        <w:ind w:left="0" w:firstLine="0"/>
        <w:jc w:val="center"/>
        <w:rPr>
          <w:b w:val="1"/>
          <w:color w:val="222222"/>
          <w:highlight w:val="white"/>
        </w:rPr>
      </w:pPr>
      <w:r w:rsidDel="00000000" w:rsidR="00000000" w:rsidRPr="00000000">
        <w:rPr>
          <w:rtl w:val="0"/>
        </w:rPr>
      </w:r>
    </w:p>
    <w:p w:rsidR="00000000" w:rsidDel="00000000" w:rsidP="00000000" w:rsidRDefault="00000000" w:rsidRPr="00000000" w14:paraId="00000042">
      <w:pPr>
        <w:numPr>
          <w:ilvl w:val="0"/>
          <w:numId w:val="2"/>
        </w:numPr>
        <w:ind w:left="720" w:hanging="360"/>
        <w:rPr>
          <w:color w:val="222222"/>
          <w:highlight w:val="white"/>
          <w:u w:val="none"/>
        </w:rPr>
      </w:pPr>
      <w:r w:rsidDel="00000000" w:rsidR="00000000" w:rsidRPr="00000000">
        <w:rPr>
          <w:color w:val="222222"/>
          <w:highlight w:val="white"/>
          <w:rtl w:val="0"/>
        </w:rPr>
        <w:t xml:space="preserve">Shake the bottle for a few seconds until the color</w:t>
      </w:r>
    </w:p>
    <w:p w:rsidR="00000000" w:rsidDel="00000000" w:rsidP="00000000" w:rsidRDefault="00000000" w:rsidRPr="00000000" w14:paraId="00000043">
      <w:pPr>
        <w:ind w:left="720" w:firstLine="0"/>
        <w:rPr>
          <w:color w:val="222222"/>
          <w:highlight w:val="white"/>
        </w:rPr>
      </w:pPr>
      <w:r w:rsidDel="00000000" w:rsidR="00000000" w:rsidRPr="00000000">
        <w:rPr>
          <w:color w:val="222222"/>
          <w:highlight w:val="white"/>
          <w:rtl w:val="0"/>
        </w:rPr>
        <w:t xml:space="preserve">changes and a sudden green emulsion forms before each use.</w:t>
      </w:r>
    </w:p>
    <w:p w:rsidR="00000000" w:rsidDel="00000000" w:rsidP="00000000" w:rsidRDefault="00000000" w:rsidRPr="00000000" w14:paraId="00000044">
      <w:pPr>
        <w:numPr>
          <w:ilvl w:val="0"/>
          <w:numId w:val="2"/>
        </w:numPr>
        <w:ind w:left="720" w:hanging="360"/>
        <w:rPr>
          <w:color w:val="222222"/>
          <w:highlight w:val="white"/>
          <w:u w:val="none"/>
        </w:rPr>
      </w:pPr>
      <w:r w:rsidDel="00000000" w:rsidR="00000000" w:rsidRPr="00000000">
        <w:rPr>
          <w:color w:val="222222"/>
          <w:highlight w:val="white"/>
          <w:rtl w:val="0"/>
        </w:rPr>
        <w:t xml:space="preserve">With a syringe, take the quantity necessary for the treatment, drawing from the center of the mixture in order to guarantee uniformity of dosage, and proceed with the application immediately.</w:t>
      </w:r>
    </w:p>
    <w:p w:rsidR="00000000" w:rsidDel="00000000" w:rsidP="00000000" w:rsidRDefault="00000000" w:rsidRPr="00000000" w14:paraId="00000045">
      <w:pPr>
        <w:numPr>
          <w:ilvl w:val="0"/>
          <w:numId w:val="2"/>
        </w:numPr>
        <w:ind w:left="720" w:hanging="360"/>
        <w:rPr>
          <w:color w:val="222222"/>
          <w:highlight w:val="white"/>
          <w:u w:val="none"/>
        </w:rPr>
      </w:pPr>
      <w:r w:rsidDel="00000000" w:rsidR="00000000" w:rsidRPr="00000000">
        <w:rPr>
          <w:color w:val="222222"/>
          <w:highlight w:val="white"/>
          <w:rtl w:val="0"/>
        </w:rPr>
        <w:t xml:space="preserve">Apply the product in the desired area and rub with a nitrile glove until completely absorbed.</w:t>
      </w:r>
    </w:p>
    <w:p w:rsidR="00000000" w:rsidDel="00000000" w:rsidP="00000000" w:rsidRDefault="00000000" w:rsidRPr="00000000" w14:paraId="00000046">
      <w:pPr>
        <w:numPr>
          <w:ilvl w:val="0"/>
          <w:numId w:val="2"/>
        </w:numPr>
        <w:ind w:left="720" w:hanging="360"/>
        <w:rPr>
          <w:color w:val="222222"/>
          <w:highlight w:val="white"/>
          <w:u w:val="none"/>
        </w:rPr>
      </w:pPr>
      <w:r w:rsidDel="00000000" w:rsidR="00000000" w:rsidRPr="00000000">
        <w:rPr>
          <w:color w:val="222222"/>
          <w:highlight w:val="white"/>
          <w:rtl w:val="0"/>
        </w:rPr>
        <w:t xml:space="preserve">After the exposure time, dab the area carefully with sterile gauze and water, and clean any residues.</w:t>
      </w:r>
    </w:p>
    <w:p w:rsidR="00000000" w:rsidDel="00000000" w:rsidP="00000000" w:rsidRDefault="00000000" w:rsidRPr="00000000" w14:paraId="00000047">
      <w:pPr>
        <w:numPr>
          <w:ilvl w:val="0"/>
          <w:numId w:val="2"/>
        </w:numPr>
        <w:ind w:left="720" w:hanging="360"/>
        <w:rPr>
          <w:color w:val="222222"/>
          <w:highlight w:val="white"/>
          <w:u w:val="none"/>
        </w:rPr>
      </w:pPr>
      <w:r w:rsidDel="00000000" w:rsidR="00000000" w:rsidRPr="00000000">
        <w:rPr>
          <w:color w:val="222222"/>
          <w:highlight w:val="white"/>
          <w:rtl w:val="0"/>
        </w:rPr>
        <w:t xml:space="preserve">The product is single patient.</w:t>
      </w:r>
    </w:p>
    <w:p w:rsidR="00000000" w:rsidDel="00000000" w:rsidP="00000000" w:rsidRDefault="00000000" w:rsidRPr="00000000" w14:paraId="00000048">
      <w:pPr>
        <w:ind w:left="0" w:firstLine="0"/>
        <w:rPr>
          <w:color w:val="222222"/>
          <w:highlight w:val="white"/>
        </w:rPr>
      </w:pPr>
      <w:r w:rsidDel="00000000" w:rsidR="00000000" w:rsidRPr="00000000">
        <w:rPr>
          <w:rtl w:val="0"/>
        </w:rPr>
      </w:r>
    </w:p>
    <w:p w:rsidR="00000000" w:rsidDel="00000000" w:rsidP="00000000" w:rsidRDefault="00000000" w:rsidRPr="00000000" w14:paraId="00000049">
      <w:pPr>
        <w:ind w:left="0" w:firstLine="0"/>
        <w:jc w:val="center"/>
        <w:rPr>
          <w:b w:val="1"/>
          <w:color w:val="222222"/>
          <w:highlight w:val="white"/>
        </w:rPr>
      </w:pPr>
      <w:r w:rsidDel="00000000" w:rsidR="00000000" w:rsidRPr="00000000">
        <w:rPr>
          <w:b w:val="1"/>
          <w:color w:val="222222"/>
          <w:highlight w:val="white"/>
          <w:rtl w:val="0"/>
        </w:rPr>
        <w:t xml:space="preserve">Warnings:</w:t>
      </w:r>
    </w:p>
    <w:p w:rsidR="00000000" w:rsidDel="00000000" w:rsidP="00000000" w:rsidRDefault="00000000" w:rsidRPr="00000000" w14:paraId="0000004A">
      <w:pPr>
        <w:ind w:left="0" w:firstLine="0"/>
        <w:jc w:val="center"/>
        <w:rPr>
          <w:b w:val="1"/>
          <w:color w:val="222222"/>
          <w:highlight w:val="white"/>
        </w:rPr>
      </w:pPr>
      <w:r w:rsidDel="00000000" w:rsidR="00000000" w:rsidRPr="00000000">
        <w:rPr>
          <w:rtl w:val="0"/>
        </w:rPr>
      </w:r>
    </w:p>
    <w:p w:rsidR="00000000" w:rsidDel="00000000" w:rsidP="00000000" w:rsidRDefault="00000000" w:rsidRPr="00000000" w14:paraId="0000004B">
      <w:pPr>
        <w:numPr>
          <w:ilvl w:val="0"/>
          <w:numId w:val="3"/>
        </w:numPr>
        <w:ind w:left="720" w:hanging="360"/>
        <w:rPr>
          <w:color w:val="222222"/>
          <w:highlight w:val="white"/>
          <w:u w:val="none"/>
        </w:rPr>
      </w:pPr>
      <w:r w:rsidDel="00000000" w:rsidR="00000000" w:rsidRPr="00000000">
        <w:rPr>
          <w:color w:val="222222"/>
          <w:highlight w:val="white"/>
          <w:rtl w:val="0"/>
        </w:rPr>
        <w:t xml:space="preserve">Professional medical device for external use.</w:t>
      </w:r>
    </w:p>
    <w:p w:rsidR="00000000" w:rsidDel="00000000" w:rsidP="00000000" w:rsidRDefault="00000000" w:rsidRPr="00000000" w14:paraId="0000004C">
      <w:pPr>
        <w:numPr>
          <w:ilvl w:val="0"/>
          <w:numId w:val="3"/>
        </w:numPr>
        <w:ind w:left="720" w:hanging="360"/>
        <w:rPr>
          <w:color w:val="222222"/>
          <w:highlight w:val="white"/>
          <w:u w:val="none"/>
        </w:rPr>
      </w:pPr>
      <w:r w:rsidDel="00000000" w:rsidR="00000000" w:rsidRPr="00000000">
        <w:rPr>
          <w:color w:val="222222"/>
          <w:highlight w:val="white"/>
          <w:rtl w:val="0"/>
        </w:rPr>
        <w:t xml:space="preserve">Avoid contact with eyes, mucous membranes, and nails.</w:t>
      </w:r>
    </w:p>
    <w:p w:rsidR="00000000" w:rsidDel="00000000" w:rsidP="00000000" w:rsidRDefault="00000000" w:rsidRPr="00000000" w14:paraId="0000004D">
      <w:pPr>
        <w:numPr>
          <w:ilvl w:val="0"/>
          <w:numId w:val="3"/>
        </w:numPr>
        <w:ind w:left="720" w:hanging="360"/>
        <w:rPr>
          <w:color w:val="222222"/>
          <w:highlight w:val="white"/>
          <w:u w:val="none"/>
        </w:rPr>
      </w:pPr>
      <w:r w:rsidDel="00000000" w:rsidR="00000000" w:rsidRPr="00000000">
        <w:rPr>
          <w:color w:val="222222"/>
          <w:highlight w:val="white"/>
          <w:rtl w:val="0"/>
        </w:rPr>
        <w:t xml:space="preserve">In case of accidental contact, rinse with plenty of water or eye wash.</w:t>
      </w:r>
    </w:p>
    <w:p w:rsidR="00000000" w:rsidDel="00000000" w:rsidP="00000000" w:rsidRDefault="00000000" w:rsidRPr="00000000" w14:paraId="0000004E">
      <w:pPr>
        <w:numPr>
          <w:ilvl w:val="0"/>
          <w:numId w:val="3"/>
        </w:numPr>
        <w:ind w:left="720" w:hanging="360"/>
        <w:rPr>
          <w:color w:val="222222"/>
          <w:highlight w:val="white"/>
          <w:u w:val="none"/>
        </w:rPr>
      </w:pPr>
      <w:r w:rsidDel="00000000" w:rsidR="00000000" w:rsidRPr="00000000">
        <w:rPr>
          <w:color w:val="222222"/>
          <w:highlight w:val="white"/>
          <w:rtl w:val="0"/>
        </w:rPr>
        <w:t xml:space="preserve">Dispose of as hazardous waste according to mandatory requirements, hazard class: HP4, HP5, HP6, HP14.</w:t>
      </w:r>
    </w:p>
    <w:p w:rsidR="00000000" w:rsidDel="00000000" w:rsidP="00000000" w:rsidRDefault="00000000" w:rsidRPr="00000000" w14:paraId="0000004F">
      <w:pPr>
        <w:numPr>
          <w:ilvl w:val="0"/>
          <w:numId w:val="3"/>
        </w:numPr>
        <w:ind w:left="720" w:hanging="360"/>
        <w:rPr>
          <w:color w:val="222222"/>
          <w:highlight w:val="white"/>
          <w:u w:val="none"/>
        </w:rPr>
      </w:pPr>
      <w:r w:rsidDel="00000000" w:rsidR="00000000" w:rsidRPr="00000000">
        <w:rPr>
          <w:color w:val="222222"/>
          <w:highlight w:val="white"/>
          <w:rtl w:val="0"/>
        </w:rPr>
        <w:t xml:space="preserve">In case of non-compliant use according to the product's protocol and intended use, the professional medical user assumes responsibility for incorrect use, knowing the risks and benefits related to use and not indicated use.</w:t>
      </w:r>
    </w:p>
    <w:p w:rsidR="00000000" w:rsidDel="00000000" w:rsidP="00000000" w:rsidRDefault="00000000" w:rsidRPr="00000000" w14:paraId="00000050">
      <w:pPr>
        <w:ind w:left="720" w:firstLine="0"/>
        <w:rPr>
          <w:color w:val="222222"/>
          <w:highlight w:val="white"/>
        </w:rPr>
      </w:pPr>
      <w:r w:rsidDel="00000000" w:rsidR="00000000" w:rsidRPr="00000000">
        <w:rPr>
          <w:rtl w:val="0"/>
        </w:rPr>
      </w:r>
    </w:p>
    <w:p w:rsidR="00000000" w:rsidDel="00000000" w:rsidP="00000000" w:rsidRDefault="00000000" w:rsidRPr="00000000" w14:paraId="00000051">
      <w:pPr>
        <w:jc w:val="center"/>
        <w:rPr>
          <w:b w:val="1"/>
          <w:color w:val="222222"/>
          <w:highlight w:val="white"/>
        </w:rPr>
      </w:pPr>
      <w:r w:rsidDel="00000000" w:rsidR="00000000" w:rsidRPr="00000000">
        <w:rPr>
          <w:b w:val="1"/>
          <w:color w:val="222222"/>
          <w:highlight w:val="white"/>
          <w:rtl w:val="0"/>
        </w:rPr>
        <w:t xml:space="preserve">Storage:</w:t>
      </w:r>
    </w:p>
    <w:p w:rsidR="00000000" w:rsidDel="00000000" w:rsidP="00000000" w:rsidRDefault="00000000" w:rsidRPr="00000000" w14:paraId="00000052">
      <w:pPr>
        <w:jc w:val="center"/>
        <w:rPr>
          <w:b w:val="1"/>
          <w:color w:val="222222"/>
          <w:highlight w:val="white"/>
        </w:rPr>
      </w:pPr>
      <w:r w:rsidDel="00000000" w:rsidR="00000000" w:rsidRPr="00000000">
        <w:rPr>
          <w:rtl w:val="0"/>
        </w:rPr>
      </w:r>
    </w:p>
    <w:p w:rsidR="00000000" w:rsidDel="00000000" w:rsidP="00000000" w:rsidRDefault="00000000" w:rsidRPr="00000000" w14:paraId="00000053">
      <w:pPr>
        <w:rPr>
          <w:color w:val="222222"/>
          <w:highlight w:val="white"/>
        </w:rPr>
      </w:pPr>
      <w:r w:rsidDel="00000000" w:rsidR="00000000" w:rsidRPr="00000000">
        <w:rPr>
          <w:color w:val="222222"/>
          <w:highlight w:val="white"/>
          <w:rtl w:val="0"/>
        </w:rPr>
        <w:t xml:space="preserve">Store in a cool, dry place at a temperature between 5 °C and 25 °C, away from light and heat sources. </w:t>
      </w:r>
    </w:p>
    <w:sectPr>
      <w:pgSz w:h="16834" w:w="11909" w:orient="portrait"/>
      <w:pgMar w:bottom="1440" w:top="566.9291338582677"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pl"/>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