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2DF94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Przeciwwskazania</w:t>
      </w:r>
    </w:p>
    <w:p w14:paraId="3BB83863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Przeciwwskazaniem do zabiegu z użyciem preparatu </w:t>
      </w:r>
      <w:proofErr w:type="spellStart"/>
      <w:r>
        <w:rPr>
          <w:rFonts w:ascii="Verdana" w:hAnsi="Verdana"/>
          <w:color w:val="000000"/>
          <w:sz w:val="21"/>
          <w:szCs w:val="21"/>
        </w:rPr>
        <w:t>Elisir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Lift jest nadwrażliwość pacjenta na którykolwiek składnik roztworu.</w:t>
      </w:r>
    </w:p>
    <w:p w14:paraId="2557FF1D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używać preparatu:</w:t>
      </w:r>
    </w:p>
    <w:p w14:paraId="3BE2CA83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- do iniekcji innych niż doskórne;</w:t>
      </w:r>
    </w:p>
    <w:p w14:paraId="067FC84E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- w połączeniu z peelingami, dermabrazją ani zabiegami laserowymi. Lekarz powinien zdecydować, ile czasu musi minąć pomiędzy tymi zabiegami a zabiegiem z użyciem preparatu </w:t>
      </w:r>
      <w:proofErr w:type="spellStart"/>
      <w:r>
        <w:rPr>
          <w:rFonts w:ascii="Verdana" w:hAnsi="Verdana"/>
          <w:color w:val="000000"/>
          <w:sz w:val="21"/>
          <w:szCs w:val="21"/>
        </w:rPr>
        <w:t>Elisir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Lift.</w:t>
      </w:r>
    </w:p>
    <w:p w14:paraId="6F33FB1A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- u dzieci</w:t>
      </w:r>
    </w:p>
    <w:p w14:paraId="3834F913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wstrzykiwać w naczynia krwionośne.</w:t>
      </w:r>
    </w:p>
    <w:p w14:paraId="634425A4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Działania niepożądane</w:t>
      </w:r>
    </w:p>
    <w:p w14:paraId="4864F951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 literaturze opisano następujące działania: reakcje zapalne, takie jak czerwona wysypka, obrzęk lub rumień, którym może towarzyszyć uczucie swędzenia lub ból w okolicy miejsca wstrzyknięcia, zwykle ustępujące w ciągu tygodnia. Przebarwienia lub bladość w miejscu iniekcji. Jeśli wystąpi zbielenie w okolicy gładzizny czołowej, ropnie i ziarniaki, należy skonsultować się z lekarzem.</w:t>
      </w:r>
    </w:p>
    <w:p w14:paraId="64BD721D" w14:textId="77777777" w:rsidR="00B85F31" w:rsidRDefault="00B85F31" w:rsidP="00B85F3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Pacjent powinien poinformować lekarza, jeśli którykolwiek z opisanych powyżej skutków ubocznych utrzymuje się dłużej niż tydzień lub jeśli pojawiły się jakiekolwiek inne działania niepożądane.</w:t>
      </w:r>
    </w:p>
    <w:p w14:paraId="11780FDD" w14:textId="77777777" w:rsidR="00453B28" w:rsidRPr="00B85F31" w:rsidRDefault="00453B28" w:rsidP="00B85F31"/>
    <w:sectPr w:rsidR="00453B28" w:rsidRPr="00B85F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F31"/>
    <w:rsid w:val="00413B3C"/>
    <w:rsid w:val="00453B28"/>
    <w:rsid w:val="00B8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DD563"/>
  <w15:chartTrackingRefBased/>
  <w15:docId w15:val="{C6AF7ACF-F7E6-43F5-A58E-014F1716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85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1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2023-07-12T11:58:00Z</dcterms:created>
  <dcterms:modified xsi:type="dcterms:W3CDTF">2023-07-12T12:00:00Z</dcterms:modified>
</cp:coreProperties>
</file>