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0568B" w14:textId="77777777" w:rsidR="006C7249" w:rsidRPr="006C7249" w:rsidRDefault="006C7249" w:rsidP="006C7249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6C7249">
        <w:rPr>
          <w:rFonts w:ascii="Verdana" w:eastAsia="Times New Roman" w:hAnsi="Verdana" w:cs="Times New Roman"/>
          <w:b/>
          <w:bCs/>
          <w:color w:val="000000"/>
          <w:kern w:val="0"/>
          <w:sz w:val="21"/>
          <w:szCs w:val="21"/>
          <w:lang w:eastAsia="pl-PL"/>
          <w14:ligatures w14:val="none"/>
        </w:rPr>
        <w:t>Przeciwwskazania</w:t>
      </w:r>
    </w:p>
    <w:p w14:paraId="30250271" w14:textId="77777777" w:rsidR="006C7249" w:rsidRPr="006C7249" w:rsidRDefault="006C7249" w:rsidP="006C72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6C724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 wolno używać w połączeniu z peelingami, laseroterapią lub dermabrazją,</w:t>
      </w:r>
    </w:p>
    <w:p w14:paraId="16DB6AC4" w14:textId="77777777" w:rsidR="006C7249" w:rsidRPr="006C7249" w:rsidRDefault="006C7249" w:rsidP="006C72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6C724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ze skłonnością do powstawania blizn przerostowych,</w:t>
      </w:r>
    </w:p>
    <w:p w14:paraId="7A9BA024" w14:textId="77777777" w:rsidR="006C7249" w:rsidRPr="006C7249" w:rsidRDefault="006C7249" w:rsidP="006C72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6C724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ze znaną nadwrażliwością na którykolwiek składnik produktu,</w:t>
      </w:r>
    </w:p>
    <w:p w14:paraId="3F5B7519" w14:textId="77777777" w:rsidR="006C7249" w:rsidRPr="006C7249" w:rsidRDefault="006C7249" w:rsidP="006C72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6C724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kobiet w ciąży, karmiących oraz u dzieci,</w:t>
      </w:r>
    </w:p>
    <w:p w14:paraId="32A808D7" w14:textId="77777777" w:rsidR="006C7249" w:rsidRPr="006C7249" w:rsidRDefault="006C7249" w:rsidP="006C72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6C724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W miejscach lub okolicach miejsc, w których występują stany zapalne lub infekcje skóry (trądzik, opryszczka itp.).</w:t>
      </w:r>
    </w:p>
    <w:p w14:paraId="7367E1E4" w14:textId="77777777" w:rsidR="006C7249" w:rsidRPr="006C7249" w:rsidRDefault="006C7249" w:rsidP="006C7249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6C7249">
        <w:rPr>
          <w:rFonts w:ascii="Verdana" w:eastAsia="Times New Roman" w:hAnsi="Verdana" w:cs="Times New Roman"/>
          <w:b/>
          <w:bCs/>
          <w:color w:val="000000"/>
          <w:kern w:val="0"/>
          <w:sz w:val="21"/>
          <w:szCs w:val="21"/>
          <w:lang w:eastAsia="pl-PL"/>
          <w14:ligatures w14:val="none"/>
        </w:rPr>
        <w:t xml:space="preserve">Ponadto produkty </w:t>
      </w:r>
      <w:proofErr w:type="spellStart"/>
      <w:r w:rsidRPr="006C7249">
        <w:rPr>
          <w:rFonts w:ascii="Verdana" w:eastAsia="Times New Roman" w:hAnsi="Verdana" w:cs="Times New Roman"/>
          <w:b/>
          <w:bCs/>
          <w:color w:val="000000"/>
          <w:kern w:val="0"/>
          <w:sz w:val="21"/>
          <w:szCs w:val="21"/>
          <w:lang w:eastAsia="pl-PL"/>
          <w14:ligatures w14:val="none"/>
        </w:rPr>
        <w:t>Stylage</w:t>
      </w:r>
      <w:proofErr w:type="spellEnd"/>
      <w:r w:rsidRPr="006C7249">
        <w:rPr>
          <w:rFonts w:ascii="Verdana" w:eastAsia="Times New Roman" w:hAnsi="Verdana" w:cs="Times New Roman"/>
          <w:b/>
          <w:bCs/>
          <w:color w:val="000000"/>
          <w:kern w:val="0"/>
          <w:sz w:val="21"/>
          <w:szCs w:val="21"/>
          <w:lang w:eastAsia="pl-PL"/>
          <w14:ligatures w14:val="none"/>
        </w:rPr>
        <w:t xml:space="preserve"> </w:t>
      </w:r>
      <w:proofErr w:type="spellStart"/>
      <w:r w:rsidRPr="006C7249">
        <w:rPr>
          <w:rFonts w:ascii="Verdana" w:eastAsia="Times New Roman" w:hAnsi="Verdana" w:cs="Times New Roman"/>
          <w:b/>
          <w:bCs/>
          <w:color w:val="000000"/>
          <w:kern w:val="0"/>
          <w:sz w:val="21"/>
          <w:szCs w:val="21"/>
          <w:lang w:eastAsia="pl-PL"/>
          <w14:ligatures w14:val="none"/>
        </w:rPr>
        <w:t>Bisoft</w:t>
      </w:r>
      <w:proofErr w:type="spellEnd"/>
      <w:r w:rsidRPr="006C7249">
        <w:rPr>
          <w:rFonts w:ascii="Verdana" w:eastAsia="Times New Roman" w:hAnsi="Verdana" w:cs="Times New Roman"/>
          <w:b/>
          <w:bCs/>
          <w:color w:val="000000"/>
          <w:kern w:val="0"/>
          <w:sz w:val="21"/>
          <w:szCs w:val="21"/>
          <w:lang w:eastAsia="pl-PL"/>
          <w14:ligatures w14:val="none"/>
        </w:rPr>
        <w:t xml:space="preserve"> nie mogą być stosowane</w:t>
      </w:r>
    </w:p>
    <w:p w14:paraId="7351D419" w14:textId="77777777" w:rsidR="006C7249" w:rsidRPr="006C7249" w:rsidRDefault="006C7249" w:rsidP="006C72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6C724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Do iniekcji w celu korekcji płytkich zmarszczek,</w:t>
      </w:r>
    </w:p>
    <w:p w14:paraId="13412DC3" w14:textId="2766F905" w:rsidR="00453B28" w:rsidRPr="006C7249" w:rsidRDefault="006C7249" w:rsidP="006C72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6C724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W obszarach, gdzie skóra jest cienka (np. na czole i w okolicach oczodołu, w tym również na powiekach, pod oczami i do korekcji tzw. Kurzych łapek), w obszarach z wyeksponowanymi naczyniami (np. gładzizna) i w ustach.</w:t>
      </w:r>
    </w:p>
    <w:sectPr w:rsidR="00453B28" w:rsidRPr="006C72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A0534"/>
    <w:multiLevelType w:val="multilevel"/>
    <w:tmpl w:val="B038F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8314A9"/>
    <w:multiLevelType w:val="multilevel"/>
    <w:tmpl w:val="B2A02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2509140">
    <w:abstractNumId w:val="0"/>
  </w:num>
  <w:num w:numId="2" w16cid:durableId="16326371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249"/>
    <w:rsid w:val="00413B3C"/>
    <w:rsid w:val="00453B28"/>
    <w:rsid w:val="006C7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448BC"/>
  <w15:chartTrackingRefBased/>
  <w15:docId w15:val="{5DD13B2B-0363-4562-A7E1-C36C0FB92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72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C72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C72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C72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C72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C72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C72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C72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C72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72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C72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C72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C724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C724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C724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C724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C724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C724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C72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C72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C72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C72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C72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C724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C724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C724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C72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C724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C7249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6C7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6C72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52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607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2024-01-19T10:37:00Z</dcterms:created>
  <dcterms:modified xsi:type="dcterms:W3CDTF">2024-01-19T10:37:00Z</dcterms:modified>
</cp:coreProperties>
</file>