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332CF" w14:textId="77777777" w:rsidR="002334A1" w:rsidRDefault="002334A1" w:rsidP="002334A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4B90DE1B" w14:textId="77777777" w:rsidR="002334A1" w:rsidRDefault="002334A1" w:rsidP="002334A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Pudełko z napełnioną strzykawką jednorazowego użytku zawierająca 2ml </w:t>
      </w:r>
      <w:proofErr w:type="spellStart"/>
      <w:r>
        <w:rPr>
          <w:rFonts w:ascii="Verdana" w:hAnsi="Verdana"/>
          <w:color w:val="000000"/>
          <w:sz w:val="21"/>
          <w:szCs w:val="21"/>
        </w:rPr>
        <w:t>Skinbooster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na bazie kwasu hialuronowego (40mg/2ml) + Glicyna, Prolina, Leucyna, Lizyna, Walina, Alanina, </w:t>
      </w:r>
      <w:proofErr w:type="spellStart"/>
      <w:r>
        <w:rPr>
          <w:rFonts w:ascii="Verdana" w:hAnsi="Verdana"/>
          <w:color w:val="000000"/>
          <w:sz w:val="21"/>
          <w:szCs w:val="21"/>
        </w:rPr>
        <w:t>Arginine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Asparagina, Tauryna, Seryna, Izoleucyna, Kwas Glutaminowy, Ornityna, Kwas Aminomasłowy, </w:t>
      </w:r>
      <w:proofErr w:type="spellStart"/>
      <w:r>
        <w:rPr>
          <w:rFonts w:ascii="Verdana" w:hAnsi="Verdana"/>
          <w:color w:val="000000"/>
          <w:sz w:val="21"/>
          <w:szCs w:val="21"/>
        </w:rPr>
        <w:t>Fenylalanine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Theonine</w:t>
      </w:r>
      <w:proofErr w:type="spellEnd"/>
      <w:r>
        <w:rPr>
          <w:rFonts w:ascii="Verdana" w:hAnsi="Verdana"/>
          <w:color w:val="000000"/>
          <w:sz w:val="21"/>
          <w:szCs w:val="21"/>
        </w:rPr>
        <w:t>, Tryptofan, Histydyna, Glutamina, Metionina. </w:t>
      </w:r>
    </w:p>
    <w:p w14:paraId="6CDAFBC6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4A1"/>
    <w:rsid w:val="002334A1"/>
    <w:rsid w:val="00413B3C"/>
    <w:rsid w:val="0045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D14A6"/>
  <w15:chartTrackingRefBased/>
  <w15:docId w15:val="{154C0FD0-DAB6-44DA-8FC5-6A7865967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33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2334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051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300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2023-07-12T12:38:00Z</dcterms:created>
  <dcterms:modified xsi:type="dcterms:W3CDTF">2023-07-12T12:43:00Z</dcterms:modified>
</cp:coreProperties>
</file>