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BB2220" w14:textId="77777777" w:rsidR="00150A48" w:rsidRPr="00150A48" w:rsidRDefault="00150A48" w:rsidP="00150A48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Przeciwwskazania </w:t>
      </w:r>
    </w:p>
    <w:p w14:paraId="2E18DCD9" w14:textId="77777777" w:rsidR="00150A48" w:rsidRPr="00150A48" w:rsidRDefault="00150A48" w:rsidP="00150A48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Wyrobu medycznego </w:t>
      </w:r>
      <w:proofErr w:type="spellStart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mesofiller</w:t>
      </w:r>
      <w:proofErr w:type="spellEnd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nie wolno stosować:</w:t>
      </w:r>
    </w:p>
    <w:p w14:paraId="0ADD45A8" w14:textId="77777777" w:rsidR="00150A48" w:rsidRPr="00150A48" w:rsidRDefault="00150A48" w:rsidP="00150A4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We wstrzyknięciach </w:t>
      </w:r>
      <w:proofErr w:type="spellStart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okołooczodołowych</w:t>
      </w:r>
      <w:proofErr w:type="spellEnd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(powieki, oczodoły),</w:t>
      </w:r>
    </w:p>
    <w:p w14:paraId="65C5E2D2" w14:textId="77777777" w:rsidR="00150A48" w:rsidRPr="00150A48" w:rsidRDefault="00150A48" w:rsidP="00150A4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We wstrzyknięciach do naczyń krwionośnych,</w:t>
      </w:r>
    </w:p>
    <w:p w14:paraId="739B733E" w14:textId="77777777" w:rsidR="00150A48" w:rsidRPr="00150A48" w:rsidRDefault="00150A48" w:rsidP="00150A4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Do powiększania piersi lub wszczepiania do kości, ścięgien, więzadeł bądź mięśni.</w:t>
      </w:r>
    </w:p>
    <w:p w14:paraId="2DA11360" w14:textId="77777777" w:rsidR="00150A48" w:rsidRPr="00150A48" w:rsidRDefault="00150A48" w:rsidP="00150A48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Wyrobu medycznego </w:t>
      </w:r>
      <w:proofErr w:type="spellStart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mesofiller</w:t>
      </w:r>
      <w:proofErr w:type="spellEnd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nie wolno podawać pacjentom:</w:t>
      </w:r>
    </w:p>
    <w:p w14:paraId="17711B7A" w14:textId="77777777" w:rsidR="00150A48" w:rsidRPr="00150A48" w:rsidRDefault="00150A48" w:rsidP="00150A4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Ze stwierdzoną tendencją do występowania blizn przerostowych lub </w:t>
      </w:r>
      <w:proofErr w:type="spellStart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keloidowych</w:t>
      </w:r>
      <w:proofErr w:type="spellEnd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bądź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z zaburzeniami pigmentacji,</w:t>
      </w:r>
    </w:p>
    <w:p w14:paraId="6937C360" w14:textId="77777777" w:rsidR="00150A48" w:rsidRPr="00150A48" w:rsidRDefault="00150A48" w:rsidP="00150A4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Z wcześniejszymi czynnymi chorobami autoimmunologicznymi lub poddawanym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immunoterapii,</w:t>
      </w:r>
    </w:p>
    <w:p w14:paraId="1B4F3296" w14:textId="77777777" w:rsidR="00150A48" w:rsidRPr="00150A48" w:rsidRDefault="00150A48" w:rsidP="00150A4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Z wieloma ciężkimi alergiami lub czynnymi stanami zapalnymi,</w:t>
      </w:r>
    </w:p>
    <w:p w14:paraId="48546FDF" w14:textId="77777777" w:rsidR="00150A48" w:rsidRPr="00150A48" w:rsidRDefault="00150A48" w:rsidP="00150A4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Z zaburzeniami krzepnięcia,</w:t>
      </w:r>
    </w:p>
    <w:p w14:paraId="6A548D82" w14:textId="77777777" w:rsidR="00150A48" w:rsidRPr="00150A48" w:rsidRDefault="00150A48" w:rsidP="00150A4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Z potwierdzoną nadwrażliwością na kwas hialuronowy.</w:t>
      </w:r>
    </w:p>
    <w:p w14:paraId="48C5A9B7" w14:textId="77777777" w:rsidR="00150A48" w:rsidRPr="00150A48" w:rsidRDefault="00150A48" w:rsidP="00150A48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Wyrób medyczny </w:t>
      </w:r>
      <w:proofErr w:type="spellStart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mesofiller</w:t>
      </w:r>
      <w:proofErr w:type="spellEnd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nie może być stosowany u kobiet w ciąży lub karmiących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piersią oraz u osób poniżej osiemnastego roku życia.</w:t>
      </w:r>
    </w:p>
    <w:p w14:paraId="620CA420" w14:textId="77777777" w:rsidR="00150A48" w:rsidRPr="00150A48" w:rsidRDefault="00150A48" w:rsidP="00150A48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OSTRZEŻENIE MEDYCZNE</w:t>
      </w:r>
    </w:p>
    <w:p w14:paraId="16BBF419" w14:textId="4D109600" w:rsidR="00453B28" w:rsidRPr="00150A48" w:rsidRDefault="00150A48" w:rsidP="00150A48">
      <w:pPr>
        <w:spacing w:before="100" w:beforeAutospacing="1" w:after="100" w:afterAutospacing="1" w:line="288" w:lineRule="atLeast"/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</w:pP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Wyrób medyczny </w:t>
      </w:r>
      <w:proofErr w:type="spellStart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mesofiller</w:t>
      </w:r>
      <w:proofErr w:type="spellEnd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może być stosowany wyłącznie do wstrzyknięć podskórnych lub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 xml:space="preserve">śródskórnych i nie może być wstrzykiwany </w:t>
      </w:r>
      <w:proofErr w:type="spellStart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donaczyniowo</w:t>
      </w:r>
      <w:proofErr w:type="spellEnd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. Podczas wykonywania zabiegu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istnieje potencjalne ryzyko przypadkowego wstrzyknięcia materiału do naczyń krwionośnych.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W rzadkich przypadkach może występować okluzja naczyń, ropień, martwica lub zjawisko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zatorowe. W celu zweryfikowania, czy podczas normalnego użytkowania wyrobu medycznego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igła nie znajduje się w naczyniu krwionośnym, przed przejściem do wstrzykiwania należy go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delikatnie aspirować strzykawką.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 xml:space="preserve">Wyrób medyczny </w:t>
      </w:r>
      <w:proofErr w:type="spellStart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mesofiller</w:t>
      </w:r>
      <w:proofErr w:type="spellEnd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jest pakowany do stosowania wyłącznie u jednego pacjenta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w ramach tej samej sesji.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 xml:space="preserve">Wyrób medyczny </w:t>
      </w:r>
      <w:proofErr w:type="spellStart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mesofiller</w:t>
      </w:r>
      <w:proofErr w:type="spellEnd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jest dostarczany jako sterylny i jednorazowy i nie wolno go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ponownie sterylizować. Nie używać ponownie.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 xml:space="preserve">Stosować wyrób medyczny </w:t>
      </w:r>
      <w:proofErr w:type="spellStart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mesofiller</w:t>
      </w:r>
      <w:proofErr w:type="spellEnd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bezpośrednio po otwarciu blistra i utylizować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strzykawkę bezpośrednio po użyciu, nawet jeżeli nie zużyto jej całej zawartości.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Nie używać produktu po upływie daty ważności podanej na opakowaniu.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 xml:space="preserve">Nie używać wyrobu medycznego </w:t>
      </w:r>
      <w:proofErr w:type="spellStart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mesofiller</w:t>
      </w:r>
      <w:proofErr w:type="spellEnd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  z innymi produktami wstrzykiwanymi i nie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lastRenderedPageBreak/>
        <w:t>mieszać go przed użyciem z innymi preparatami.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 xml:space="preserve">Nie używać wyrobu medycznego </w:t>
      </w:r>
      <w:proofErr w:type="spellStart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mesofiller</w:t>
      </w:r>
      <w:proofErr w:type="spellEnd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, gdy na skórze występują obszary zaczerwienione, obrzęk lub zmiana pigmentacji. Nie używać wyrobu medycznego </w:t>
      </w:r>
      <w:proofErr w:type="spellStart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mesofiller</w:t>
      </w:r>
      <w:proofErr w:type="spellEnd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 xml:space="preserve"> w stanach zapalnych, podczas zakażeń lub gorączki.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U pacjentów stosujących leki spowalniające krzepnięcie krwi (takie jak aspiryna) mogą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występować wybroczyny lub wyraźne krwawienie wokół miejsca wstrzyknięcia. Pacjenci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leczeni antykoagulantami powinni, po uzgodnieniu z ich lekarzem, powstrzymać się od ich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przyjmowania przez przynajmniej 14 dni przed otrzymaniem wstrzyknięć wyrobu medycznego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</w:r>
      <w:proofErr w:type="spellStart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mesofiller</w:t>
      </w:r>
      <w:proofErr w:type="spellEnd"/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t>. </w:t>
      </w:r>
      <w:r w:rsidRPr="00150A48">
        <w:rPr>
          <w:rFonts w:ascii="Verdana" w:eastAsia="Times New Roman" w:hAnsi="Verdana" w:cs="Times New Roman"/>
          <w:color w:val="000000"/>
          <w:kern w:val="0"/>
          <w:sz w:val="21"/>
          <w:szCs w:val="21"/>
          <w:lang w:eastAsia="pl-PL"/>
          <w14:ligatures w14:val="none"/>
        </w:rPr>
        <w:br/>
        <w:t>Przechowywać produkt w miejscu niedostępnym dla dzieci.</w:t>
      </w:r>
    </w:p>
    <w:sectPr w:rsidR="00453B28" w:rsidRPr="00150A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B80523"/>
    <w:multiLevelType w:val="multilevel"/>
    <w:tmpl w:val="7E865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D008AA"/>
    <w:multiLevelType w:val="multilevel"/>
    <w:tmpl w:val="44BE8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0741947">
    <w:abstractNumId w:val="1"/>
  </w:num>
  <w:num w:numId="2" w16cid:durableId="210308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A48"/>
    <w:rsid w:val="00150A48"/>
    <w:rsid w:val="00413B3C"/>
    <w:rsid w:val="00453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78520"/>
  <w15:chartTrackingRefBased/>
  <w15:docId w15:val="{C4CC90A6-71C7-4D04-8A77-AFF143F3A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150A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945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368</Words>
  <Characters>2208</Characters>
  <Application>Microsoft Office Word</Application>
  <DocSecurity>0</DocSecurity>
  <Lines>18</Lines>
  <Paragraphs>5</Paragraphs>
  <ScaleCrop>false</ScaleCrop>
  <Company/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2023-07-31T06:50:00Z</dcterms:created>
  <dcterms:modified xsi:type="dcterms:W3CDTF">2023-07-31T06:51:00Z</dcterms:modified>
</cp:coreProperties>
</file>